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60" w:rsidRDefault="00373660" w:rsidP="00373660">
      <w:pPr>
        <w:pStyle w:val="1"/>
        <w:widowControl w:val="0"/>
        <w:ind w:firstLine="709"/>
        <w:contextualSpacing w:val="0"/>
        <w:jc w:val="center"/>
        <w:rPr>
          <w:spacing w:val="-2"/>
          <w:szCs w:val="24"/>
        </w:rPr>
      </w:pPr>
      <w:bookmarkStart w:id="0" w:name="_GoBack"/>
      <w:bookmarkEnd w:id="0"/>
      <w:r w:rsidRPr="00373660">
        <w:rPr>
          <w:spacing w:val="-2"/>
          <w:szCs w:val="24"/>
        </w:rPr>
        <w:t>Мониторинг проведения независимой оценки качества условий оказания услуг организациями социальной сферы за 3 квартала 2023 г. и по итогам трехлетнего цикла 2021-2023 гг.</w:t>
      </w:r>
    </w:p>
    <w:p w:rsidR="00373660" w:rsidRDefault="00373660" w:rsidP="00373660"/>
    <w:p w:rsidR="00373660" w:rsidRPr="00373660" w:rsidRDefault="00373660" w:rsidP="00373660"/>
    <w:p w:rsidR="00373660" w:rsidRPr="00A00C9A" w:rsidRDefault="00373660" w:rsidP="00373660">
      <w:pPr>
        <w:widowControl w:val="0"/>
        <w:spacing w:after="0" w:line="360" w:lineRule="auto"/>
        <w:ind w:firstLine="709"/>
        <w:jc w:val="both"/>
        <w:rPr>
          <w:rFonts w:ascii="Times New Roman" w:hAnsi="Times New Roman" w:cs="Times New Roman"/>
          <w:sz w:val="28"/>
          <w:szCs w:val="28"/>
        </w:rPr>
      </w:pPr>
      <w:r w:rsidRPr="00A00C9A">
        <w:rPr>
          <w:rFonts w:ascii="Times New Roman" w:hAnsi="Times New Roman" w:cs="Times New Roman"/>
          <w:sz w:val="24"/>
          <w:szCs w:val="24"/>
        </w:rPr>
        <w:t>Мониторинг функционирования системы независимой оценки качества условий оказания услуг организациями социальной сферы проводится в отраслевом и региональном разрезах в целях оценки полноты и достоверности информации, размещаемой на официальном сайте bus.gov.ru, и выявления проблемных зон в развитии организаций социальной сферы.</w:t>
      </w:r>
    </w:p>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t>По итогам третьего квартала 2023 года (по состоянию на 1 октября 2023 г.) количество организаций, которые были включены в перечни для проведения независимой оценке качества в 2023 году, составило 27,1 тыс. организаций по всем сферам (здравоохранение, культура, образование и социальное обслужива</w:t>
      </w:r>
      <w:r>
        <w:rPr>
          <w:rFonts w:ascii="Times New Roman" w:hAnsi="Times New Roman" w:cs="Times New Roman"/>
          <w:sz w:val="24"/>
          <w:szCs w:val="24"/>
        </w:rPr>
        <w:t xml:space="preserve">ние) и уровням, в т.ч. </w:t>
      </w:r>
      <w:r w:rsidRPr="00523088">
        <w:rPr>
          <w:rFonts w:ascii="Times New Roman" w:hAnsi="Times New Roman" w:cs="Times New Roman"/>
          <w:sz w:val="24"/>
          <w:szCs w:val="24"/>
        </w:rPr>
        <w:t>:</w:t>
      </w:r>
    </w:p>
    <w:p w:rsidR="00373660" w:rsidRPr="00523088" w:rsidRDefault="00373660" w:rsidP="00373660">
      <w:pPr>
        <w:widowControl w:val="0"/>
        <w:spacing w:after="0" w:line="240" w:lineRule="auto"/>
        <w:jc w:val="both"/>
        <w:rPr>
          <w:rFonts w:ascii="Times New Roman" w:hAnsi="Times New Roman" w:cs="Times New Roman"/>
          <w:sz w:val="24"/>
          <w:szCs w:val="24"/>
        </w:rPr>
      </w:pPr>
      <w:r w:rsidRPr="00523088">
        <w:rPr>
          <w:rFonts w:ascii="Times New Roman" w:hAnsi="Times New Roman" w:cs="Times New Roman"/>
          <w:sz w:val="24"/>
          <w:szCs w:val="24"/>
        </w:rPr>
        <w:t xml:space="preserve"> Динамика включения организаций в перечни для проведения независимой оценки в 2023 года по кварталам.</w:t>
      </w:r>
    </w:p>
    <w:tbl>
      <w:tblPr>
        <w:tblW w:w="9351" w:type="dxa"/>
        <w:jc w:val="center"/>
        <w:tblLook w:val="04A0" w:firstRow="1" w:lastRow="0" w:firstColumn="1" w:lastColumn="0" w:noHBand="0" w:noVBand="1"/>
      </w:tblPr>
      <w:tblGrid>
        <w:gridCol w:w="2405"/>
        <w:gridCol w:w="563"/>
        <w:gridCol w:w="709"/>
        <w:gridCol w:w="576"/>
        <w:gridCol w:w="850"/>
        <w:gridCol w:w="851"/>
        <w:gridCol w:w="851"/>
        <w:gridCol w:w="709"/>
        <w:gridCol w:w="849"/>
        <w:gridCol w:w="988"/>
      </w:tblGrid>
      <w:tr w:rsidR="00373660" w:rsidRPr="00523088" w:rsidTr="000F714B">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Отрасль социальной сферы</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sz w:val="24"/>
                <w:szCs w:val="24"/>
              </w:rPr>
            </w:pPr>
            <w:r w:rsidRPr="00523088">
              <w:rPr>
                <w:rFonts w:ascii="Times New Roman" w:hAnsi="Times New Roman" w:cs="Times New Roman"/>
                <w:sz w:val="24"/>
                <w:szCs w:val="24"/>
              </w:rPr>
              <w:t>На федеральном уровне</w:t>
            </w:r>
          </w:p>
        </w:tc>
        <w:tc>
          <w:tcPr>
            <w:tcW w:w="2552" w:type="dxa"/>
            <w:gridSpan w:val="3"/>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sz w:val="24"/>
                <w:szCs w:val="24"/>
              </w:rPr>
            </w:pPr>
            <w:r w:rsidRPr="00523088">
              <w:rPr>
                <w:rFonts w:ascii="Times New Roman" w:hAnsi="Times New Roman" w:cs="Times New Roman"/>
                <w:sz w:val="24"/>
                <w:szCs w:val="24"/>
              </w:rPr>
              <w:t>На региональном уровне</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sz w:val="24"/>
                <w:szCs w:val="24"/>
              </w:rPr>
            </w:pPr>
            <w:r w:rsidRPr="00523088">
              <w:rPr>
                <w:rFonts w:ascii="Times New Roman" w:hAnsi="Times New Roman" w:cs="Times New Roman"/>
                <w:sz w:val="24"/>
                <w:szCs w:val="24"/>
              </w:rPr>
              <w:t>На муниципальном уровне</w:t>
            </w:r>
          </w:p>
        </w:tc>
      </w:tr>
      <w:tr w:rsidR="00373660" w:rsidRPr="00523088" w:rsidTr="000F714B">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sz w:val="24"/>
                <w:szCs w:val="24"/>
                <w:lang w:val="en-US"/>
              </w:rPr>
            </w:pPr>
            <w:r w:rsidRPr="00523088">
              <w:rPr>
                <w:rFonts w:ascii="Times New Roman" w:hAnsi="Times New Roman" w:cs="Times New Roman"/>
                <w:b/>
                <w:bCs/>
                <w:sz w:val="24"/>
                <w:szCs w:val="24"/>
                <w:lang w:val="en-US"/>
              </w:rPr>
              <w:t>I</w:t>
            </w:r>
          </w:p>
        </w:tc>
        <w:tc>
          <w:tcPr>
            <w:tcW w:w="709"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sz w:val="24"/>
                <w:szCs w:val="24"/>
                <w:lang w:val="en-US"/>
              </w:rPr>
            </w:pPr>
            <w:r w:rsidRPr="00523088">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sz w:val="24"/>
                <w:szCs w:val="24"/>
                <w:lang w:val="en-US"/>
              </w:rPr>
            </w:pPr>
            <w:r w:rsidRPr="00523088">
              <w:rPr>
                <w:rFonts w:ascii="Times New Roman" w:hAnsi="Times New Roman" w:cs="Times New Roman"/>
                <w:b/>
                <w:bCs/>
                <w:sz w:val="24"/>
                <w:szCs w:val="24"/>
                <w:lang w:val="en-US"/>
              </w:rPr>
              <w:t>III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b/>
                <w:bCs/>
                <w:sz w:val="24"/>
                <w:szCs w:val="24"/>
                <w:lang w:val="en-US"/>
              </w:rPr>
            </w:pPr>
            <w:r w:rsidRPr="00523088">
              <w:rPr>
                <w:rFonts w:ascii="Times New Roman" w:hAnsi="Times New Roman" w:cs="Times New Roman"/>
                <w:b/>
                <w:bCs/>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sz w:val="24"/>
                <w:szCs w:val="24"/>
                <w:lang w:val="en-US"/>
              </w:rPr>
            </w:pPr>
            <w:r w:rsidRPr="00523088">
              <w:rPr>
                <w:rFonts w:ascii="Times New Roman" w:hAnsi="Times New Roman" w:cs="Times New Roman"/>
                <w:b/>
                <w:bCs/>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sz w:val="24"/>
                <w:szCs w:val="24"/>
                <w:lang w:val="en-US"/>
              </w:rPr>
            </w:pPr>
            <w:r w:rsidRPr="00523088">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sz w:val="24"/>
                <w:szCs w:val="24"/>
                <w:lang w:val="en-US"/>
              </w:rPr>
            </w:pPr>
            <w:r w:rsidRPr="00523088">
              <w:rPr>
                <w:rFonts w:ascii="Times New Roman" w:hAnsi="Times New Roman" w:cs="Times New Roman"/>
                <w:b/>
                <w:bCs/>
                <w:sz w:val="24"/>
                <w:szCs w:val="24"/>
                <w:lang w:val="en-US"/>
              </w:rPr>
              <w:t>I</w:t>
            </w:r>
          </w:p>
        </w:tc>
        <w:tc>
          <w:tcPr>
            <w:tcW w:w="849"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sz w:val="24"/>
                <w:szCs w:val="24"/>
                <w:lang w:val="en-US"/>
              </w:rPr>
            </w:pPr>
            <w:r w:rsidRPr="00523088">
              <w:rPr>
                <w:rFonts w:ascii="Times New Roman" w:hAnsi="Times New Roman" w:cs="Times New Roman"/>
                <w:b/>
                <w:bCs/>
                <w:sz w:val="24"/>
                <w:szCs w:val="24"/>
                <w:lang w:val="en-US"/>
              </w:rPr>
              <w:t>II</w:t>
            </w:r>
          </w:p>
        </w:tc>
        <w:tc>
          <w:tcPr>
            <w:tcW w:w="993"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sz w:val="24"/>
                <w:szCs w:val="24"/>
                <w:lang w:val="en-US"/>
              </w:rPr>
            </w:pPr>
            <w:r w:rsidRPr="00523088">
              <w:rPr>
                <w:rFonts w:ascii="Times New Roman" w:hAnsi="Times New Roman" w:cs="Times New Roman"/>
                <w:b/>
                <w:bCs/>
                <w:sz w:val="24"/>
                <w:szCs w:val="24"/>
                <w:lang w:val="en-US"/>
              </w:rPr>
              <w:t>III</w:t>
            </w:r>
          </w:p>
        </w:tc>
      </w:tr>
      <w:tr w:rsidR="00373660" w:rsidRPr="00523088" w:rsidTr="000F714B">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rPr>
                <w:rFonts w:ascii="Times New Roman" w:hAnsi="Times New Roman" w:cs="Times New Roman"/>
                <w:color w:val="000000"/>
                <w:sz w:val="24"/>
                <w:szCs w:val="24"/>
              </w:rPr>
            </w:pPr>
            <w:r w:rsidRPr="00523088">
              <w:rPr>
                <w:rFonts w:ascii="Times New Roman" w:hAnsi="Times New Roman" w:cs="Times New Roman"/>
                <w:color w:val="000000"/>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1919</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2485</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2679</w:t>
            </w:r>
          </w:p>
        </w:tc>
        <w:tc>
          <w:tcPr>
            <w:tcW w:w="709"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52</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FF0000"/>
                <w:sz w:val="24"/>
                <w:szCs w:val="24"/>
              </w:rPr>
              <w:t>55*</w:t>
            </w:r>
          </w:p>
        </w:tc>
        <w:tc>
          <w:tcPr>
            <w:tcW w:w="993"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54</w:t>
            </w:r>
          </w:p>
        </w:tc>
      </w:tr>
      <w:tr w:rsidR="00373660" w:rsidRPr="00523088" w:rsidTr="000F714B">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rPr>
                <w:rFonts w:ascii="Times New Roman" w:hAnsi="Times New Roman" w:cs="Times New Roman"/>
                <w:color w:val="000000"/>
                <w:sz w:val="24"/>
                <w:szCs w:val="24"/>
              </w:rPr>
            </w:pPr>
            <w:r w:rsidRPr="00523088">
              <w:rPr>
                <w:rFonts w:ascii="Times New Roman" w:hAnsi="Times New Roman" w:cs="Times New Roman"/>
                <w:color w:val="000000"/>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127</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123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528</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1616</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1902</w:t>
            </w:r>
          </w:p>
        </w:tc>
        <w:tc>
          <w:tcPr>
            <w:tcW w:w="709"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516</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930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1149</w:t>
            </w:r>
          </w:p>
        </w:tc>
      </w:tr>
      <w:tr w:rsidR="00373660" w:rsidRPr="00523088" w:rsidTr="000F714B">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rPr>
                <w:rFonts w:ascii="Times New Roman" w:hAnsi="Times New Roman" w:cs="Times New Roman"/>
                <w:color w:val="000000"/>
                <w:sz w:val="24"/>
                <w:szCs w:val="24"/>
              </w:rPr>
            </w:pPr>
            <w:r w:rsidRPr="00523088">
              <w:rPr>
                <w:rFonts w:ascii="Times New Roman" w:hAnsi="Times New Roman" w:cs="Times New Roman"/>
                <w:color w:val="000000"/>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54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39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3376</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6 928</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9509</w:t>
            </w:r>
          </w:p>
        </w:tc>
        <w:tc>
          <w:tcPr>
            <w:tcW w:w="709"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4628</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7 654</w:t>
            </w:r>
          </w:p>
        </w:tc>
        <w:tc>
          <w:tcPr>
            <w:tcW w:w="993"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10310</w:t>
            </w:r>
          </w:p>
        </w:tc>
      </w:tr>
      <w:tr w:rsidR="00373660" w:rsidRPr="00523088" w:rsidTr="000F714B">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rPr>
                <w:rFonts w:ascii="Times New Roman" w:hAnsi="Times New Roman" w:cs="Times New Roman"/>
                <w:color w:val="000000"/>
                <w:sz w:val="24"/>
                <w:szCs w:val="24"/>
              </w:rPr>
            </w:pPr>
            <w:r w:rsidRPr="00523088">
              <w:rPr>
                <w:rFonts w:ascii="Times New Roman" w:hAnsi="Times New Roman" w:cs="Times New Roman"/>
                <w:color w:val="000000"/>
                <w:sz w:val="24"/>
                <w:szCs w:val="24"/>
              </w:rPr>
              <w:t>Социальное обслуживание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320</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887</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101</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101</w:t>
            </w:r>
          </w:p>
        </w:tc>
        <w:tc>
          <w:tcPr>
            <w:tcW w:w="993"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100</w:t>
            </w:r>
          </w:p>
        </w:tc>
      </w:tr>
      <w:tr w:rsidR="00373660" w:rsidRPr="00523088" w:rsidTr="000F714B">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rPr>
                <w:rFonts w:ascii="Times New Roman" w:hAnsi="Times New Roman" w:cs="Times New Roman"/>
                <w:color w:val="000000"/>
                <w:sz w:val="24"/>
                <w:szCs w:val="24"/>
              </w:rPr>
            </w:pPr>
            <w:r w:rsidRPr="00523088">
              <w:rPr>
                <w:rFonts w:ascii="Times New Roman" w:hAnsi="Times New Roman" w:cs="Times New Roman"/>
                <w:color w:val="000000"/>
                <w:sz w:val="24"/>
                <w:szCs w:val="24"/>
              </w:rPr>
              <w:t>МСЭ</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28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color w:val="000000"/>
                <w:sz w:val="24"/>
                <w:szCs w:val="24"/>
              </w:rPr>
            </w:pPr>
            <w:r w:rsidRPr="00523088">
              <w:rPr>
                <w:rFonts w:ascii="Times New Roman" w:hAnsi="Times New Roman" w:cs="Times New Roman"/>
                <w:color w:val="000000"/>
                <w:sz w:val="24"/>
                <w:szCs w:val="24"/>
              </w:rPr>
              <w:t>-</w:t>
            </w:r>
          </w:p>
        </w:tc>
      </w:tr>
      <w:tr w:rsidR="00373660" w:rsidRPr="00523088" w:rsidTr="000F714B">
        <w:trPr>
          <w:trHeight w:val="300"/>
          <w:jc w:val="center"/>
        </w:trPr>
        <w:tc>
          <w:tcPr>
            <w:tcW w:w="2405"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86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168</w:t>
            </w:r>
          </w:p>
        </w:tc>
        <w:tc>
          <w:tcPr>
            <w:tcW w:w="567"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190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6143</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11916</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15540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5297</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373660" w:rsidRPr="00523088" w:rsidRDefault="00373660" w:rsidP="000F714B">
            <w:pPr>
              <w:widowControl w:val="0"/>
              <w:spacing w:after="0" w:line="240" w:lineRule="auto"/>
              <w:jc w:val="center"/>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8740</w:t>
            </w:r>
          </w:p>
        </w:tc>
        <w:tc>
          <w:tcPr>
            <w:tcW w:w="993" w:type="dxa"/>
            <w:tcBorders>
              <w:top w:val="single" w:sz="4" w:space="0" w:color="auto"/>
              <w:left w:val="single" w:sz="4" w:space="0" w:color="auto"/>
              <w:bottom w:val="single" w:sz="4" w:space="0" w:color="auto"/>
              <w:right w:val="single" w:sz="4" w:space="0" w:color="auto"/>
            </w:tcBorders>
            <w:vAlign w:val="center"/>
            <w:hideMark/>
          </w:tcPr>
          <w:p w:rsidR="00373660" w:rsidRPr="00523088" w:rsidRDefault="00373660" w:rsidP="000F714B">
            <w:pPr>
              <w:widowControl w:val="0"/>
              <w:spacing w:after="0" w:line="240" w:lineRule="auto"/>
              <w:jc w:val="center"/>
              <w:rPr>
                <w:rFonts w:ascii="Times New Roman" w:hAnsi="Times New Roman" w:cs="Times New Roman"/>
                <w:b/>
                <w:bCs/>
                <w:color w:val="000000"/>
                <w:sz w:val="24"/>
                <w:szCs w:val="24"/>
              </w:rPr>
            </w:pPr>
            <w:r w:rsidRPr="00523088">
              <w:rPr>
                <w:rFonts w:ascii="Times New Roman" w:hAnsi="Times New Roman" w:cs="Times New Roman"/>
                <w:b/>
                <w:bCs/>
                <w:color w:val="000000"/>
                <w:sz w:val="24"/>
                <w:szCs w:val="24"/>
              </w:rPr>
              <w:t>11613</w:t>
            </w:r>
          </w:p>
        </w:tc>
      </w:tr>
    </w:tbl>
    <w:p w:rsidR="00373660" w:rsidRPr="00523088" w:rsidRDefault="00373660" w:rsidP="00373660">
      <w:pPr>
        <w:widowControl w:val="0"/>
        <w:spacing w:after="0" w:line="360" w:lineRule="auto"/>
        <w:jc w:val="both"/>
        <w:rPr>
          <w:rFonts w:ascii="Times New Roman" w:eastAsia="Times New Roman" w:hAnsi="Times New Roman" w:cs="Times New Roman"/>
          <w:sz w:val="24"/>
          <w:szCs w:val="24"/>
          <w:lang w:eastAsia="ru-RU"/>
        </w:rPr>
      </w:pPr>
    </w:p>
    <w:p w:rsidR="00373660" w:rsidRPr="00523088" w:rsidRDefault="00373660" w:rsidP="00373660">
      <w:pPr>
        <w:pStyle w:val="a0"/>
        <w:widowControl w:val="0"/>
        <w:numPr>
          <w:ilvl w:val="0"/>
          <w:numId w:val="1"/>
        </w:numPr>
        <w:spacing w:after="0" w:line="360" w:lineRule="auto"/>
        <w:ind w:left="709"/>
        <w:contextualSpacing w:val="0"/>
        <w:jc w:val="both"/>
        <w:rPr>
          <w:rFonts w:ascii="Times New Roman" w:hAnsi="Times New Roman" w:cs="Times New Roman"/>
          <w:sz w:val="24"/>
          <w:szCs w:val="24"/>
        </w:rPr>
      </w:pPr>
      <w:r w:rsidRPr="00523088">
        <w:rPr>
          <w:rFonts w:ascii="Times New Roman" w:hAnsi="Times New Roman" w:cs="Times New Roman"/>
          <w:sz w:val="24"/>
          <w:szCs w:val="24"/>
        </w:rPr>
        <w:t xml:space="preserve">на федеральном уровне в перечни включено 190 организаций в сферах культуры, </w:t>
      </w:r>
      <w:r w:rsidRPr="00523088">
        <w:rPr>
          <w:rFonts w:ascii="Times New Roman" w:hAnsi="Times New Roman" w:cs="Times New Roman"/>
          <w:sz w:val="24"/>
          <w:szCs w:val="24"/>
        </w:rPr>
        <w:lastRenderedPageBreak/>
        <w:t>образования и медико-социальной экспертизы, при этом подавляющее большинство в сфере культуры – 123;</w:t>
      </w:r>
    </w:p>
    <w:p w:rsidR="00373660" w:rsidRPr="00523088" w:rsidRDefault="00373660" w:rsidP="00373660">
      <w:pPr>
        <w:pStyle w:val="a0"/>
        <w:widowControl w:val="0"/>
        <w:numPr>
          <w:ilvl w:val="0"/>
          <w:numId w:val="1"/>
        </w:numPr>
        <w:spacing w:after="0" w:line="360" w:lineRule="auto"/>
        <w:ind w:left="709"/>
        <w:contextualSpacing w:val="0"/>
        <w:jc w:val="both"/>
        <w:rPr>
          <w:rFonts w:ascii="Times New Roman" w:hAnsi="Times New Roman" w:cs="Times New Roman"/>
          <w:sz w:val="24"/>
          <w:szCs w:val="24"/>
        </w:rPr>
      </w:pPr>
      <w:r w:rsidRPr="00523088">
        <w:rPr>
          <w:rFonts w:ascii="Times New Roman" w:hAnsi="Times New Roman" w:cs="Times New Roman"/>
          <w:sz w:val="24"/>
          <w:szCs w:val="24"/>
        </w:rPr>
        <w:t xml:space="preserve">на региональном уровне – 15 540 организаций по всем отраслям социальной сферы (по итогам 1 квартала было включено 6143 организации, второго – 11 916); </w:t>
      </w:r>
    </w:p>
    <w:p w:rsidR="00373660" w:rsidRPr="00523088" w:rsidRDefault="00373660" w:rsidP="00373660">
      <w:pPr>
        <w:pStyle w:val="a0"/>
        <w:widowControl w:val="0"/>
        <w:numPr>
          <w:ilvl w:val="0"/>
          <w:numId w:val="1"/>
        </w:numPr>
        <w:spacing w:after="0" w:line="360" w:lineRule="auto"/>
        <w:ind w:left="709"/>
        <w:contextualSpacing w:val="0"/>
        <w:jc w:val="both"/>
        <w:rPr>
          <w:rFonts w:ascii="Times New Roman" w:hAnsi="Times New Roman" w:cs="Times New Roman"/>
          <w:sz w:val="24"/>
          <w:szCs w:val="24"/>
        </w:rPr>
      </w:pPr>
      <w:r w:rsidRPr="00523088">
        <w:rPr>
          <w:rFonts w:ascii="Times New Roman" w:hAnsi="Times New Roman" w:cs="Times New Roman"/>
          <w:sz w:val="24"/>
          <w:szCs w:val="24"/>
        </w:rPr>
        <w:t>на муниципальном уровне – 11 613 организаций, при этом большая часть – в сфере образования, как и в предыдущие годы. По итогам мониторинга первого полугодия 2023 года в сфере здравоохранения в перечни организаций было включено 11 755</w:t>
      </w:r>
      <w:r w:rsidRPr="00523088">
        <w:rPr>
          <w:rFonts w:ascii="Times New Roman" w:hAnsi="Times New Roman" w:cs="Times New Roman"/>
          <w:color w:val="FF0000"/>
          <w:sz w:val="24"/>
          <w:szCs w:val="24"/>
        </w:rPr>
        <w:t xml:space="preserve"> </w:t>
      </w:r>
      <w:r w:rsidRPr="00523088">
        <w:rPr>
          <w:rFonts w:ascii="Times New Roman" w:hAnsi="Times New Roman" w:cs="Times New Roman"/>
          <w:sz w:val="24"/>
          <w:szCs w:val="24"/>
        </w:rPr>
        <w:t xml:space="preserve">организаций. Такое большое количество организаций, включенных в перечни для проведения оценки в сфере здравоохранения никогда не наблюдалось и в 3 квартале было скорректировано и составило 54 организации (очевидно, имела место техническая ошибка). </w:t>
      </w:r>
    </w:p>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t>Работа по формированию перечней организаций, в отношении которых должна быть проведена оценка в 2023 году, в сфере культуры проведена в 80% субъектов Российской Федерации (по итогам 1 квартала 2023 г. было лишь 32,5%, во втором квартале 78,2%), в сфере социального обслуживания показатель существенно улучшился – в 50% субъектов Российской Федерации (по итогам 1 квартала 2023 г. – 13,3%, во втором - 34,9%), в сфере образования – в 81,2 % субъектов Российской Федерации (по итогам 1 квартала 2023 г. – 45,8%, второго - 71,1%). В сфере здравоохранения 84,7% (1 квартал 2022 г. – 59 %). Работа по формированию перечней проводилась активно, поквартальная динамика положительная. Сведения о количестве организаций, включенных в перечни организаций, в отношении которых должна быть проведена оценка, по субъектам РФ в разрезе отраслей социа</w:t>
      </w:r>
      <w:r>
        <w:rPr>
          <w:rFonts w:ascii="Times New Roman" w:hAnsi="Times New Roman" w:cs="Times New Roman"/>
          <w:sz w:val="24"/>
          <w:szCs w:val="24"/>
        </w:rPr>
        <w:t>льной сферы приведены в таблице.</w:t>
      </w:r>
    </w:p>
    <w:p w:rsidR="00373660" w:rsidRPr="00523088" w:rsidRDefault="00373660" w:rsidP="00373660">
      <w:pPr>
        <w:widowControl w:val="0"/>
        <w:spacing w:after="0" w:line="240" w:lineRule="auto"/>
        <w:jc w:val="both"/>
        <w:rPr>
          <w:rFonts w:ascii="Times New Roman" w:hAnsi="Times New Roman" w:cs="Times New Roman"/>
          <w:sz w:val="24"/>
          <w:szCs w:val="24"/>
        </w:rPr>
      </w:pPr>
      <w:r w:rsidRPr="00523088">
        <w:rPr>
          <w:rFonts w:ascii="Times New Roman" w:hAnsi="Times New Roman" w:cs="Times New Roman"/>
          <w:sz w:val="24"/>
          <w:szCs w:val="24"/>
        </w:rPr>
        <w:t xml:space="preserve"> – Сведения о субъектах РФ, разместивших на сайте bus.gov.ru перечни организаций, в отношении которых запланирована НОК в 2023 году (по состоянию на 01.10.23 г.)</w:t>
      </w:r>
    </w:p>
    <w:tbl>
      <w:tblPr>
        <w:tblW w:w="9495" w:type="dxa"/>
        <w:tblLayout w:type="fixed"/>
        <w:tblLook w:val="04A0" w:firstRow="1" w:lastRow="0" w:firstColumn="1" w:lastColumn="0" w:noHBand="0" w:noVBand="1"/>
      </w:tblPr>
      <w:tblGrid>
        <w:gridCol w:w="1135"/>
        <w:gridCol w:w="988"/>
        <w:gridCol w:w="1276"/>
        <w:gridCol w:w="4254"/>
        <w:gridCol w:w="1842"/>
      </w:tblGrid>
      <w:tr w:rsidR="00373660" w:rsidRPr="00A00C9A" w:rsidTr="000F714B">
        <w:trPr>
          <w:trHeight w:val="20"/>
          <w:tblHeader/>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lastRenderedPageBreak/>
              <w:t> Сфера</w:t>
            </w:r>
          </w:p>
        </w:tc>
        <w:tc>
          <w:tcPr>
            <w:tcW w:w="988" w:type="dxa"/>
            <w:tcBorders>
              <w:top w:val="single" w:sz="4" w:space="0" w:color="auto"/>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ind w:left="-110" w:right="-107"/>
              <w:jc w:val="center"/>
              <w:rPr>
                <w:rFonts w:ascii="Times New Roman" w:hAnsi="Times New Roman" w:cs="Times New Roman"/>
                <w:color w:val="000000"/>
              </w:rPr>
            </w:pPr>
            <w:r w:rsidRPr="00A00C9A">
              <w:rPr>
                <w:rFonts w:ascii="Times New Roman" w:hAnsi="Times New Roman" w:cs="Times New Roman"/>
                <w:color w:val="000000"/>
              </w:rPr>
              <w:t>Кол-во субъектов РФ</w:t>
            </w:r>
          </w:p>
        </w:tc>
        <w:tc>
          <w:tcPr>
            <w:tcW w:w="1276" w:type="dxa"/>
            <w:tcBorders>
              <w:top w:val="single" w:sz="4" w:space="0" w:color="auto"/>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Доля от общего кол-ва субъектов РФ</w:t>
            </w:r>
          </w:p>
        </w:tc>
        <w:tc>
          <w:tcPr>
            <w:tcW w:w="4254" w:type="dxa"/>
            <w:tcBorders>
              <w:top w:val="single" w:sz="4" w:space="0" w:color="auto"/>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Субъекты РФ, разместившие перечни</w:t>
            </w:r>
          </w:p>
        </w:tc>
        <w:tc>
          <w:tcPr>
            <w:tcW w:w="1842" w:type="dxa"/>
            <w:tcBorders>
              <w:top w:val="single" w:sz="4" w:space="0" w:color="auto"/>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Субъекты РФ, не разместившие перечни</w:t>
            </w:r>
          </w:p>
        </w:tc>
      </w:tr>
      <w:tr w:rsidR="00373660" w:rsidRPr="00A00C9A" w:rsidTr="000F714B">
        <w:trPr>
          <w:trHeight w:val="6071"/>
        </w:trPr>
        <w:tc>
          <w:tcPr>
            <w:tcW w:w="1135" w:type="dxa"/>
            <w:tcBorders>
              <w:top w:val="single" w:sz="4" w:space="0" w:color="auto"/>
              <w:left w:val="single" w:sz="4" w:space="0" w:color="auto"/>
              <w:right w:val="single" w:sz="4" w:space="0" w:color="auto"/>
            </w:tcBorders>
            <w:noWrap/>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Здравоохранение</w:t>
            </w:r>
          </w:p>
        </w:tc>
        <w:tc>
          <w:tcPr>
            <w:tcW w:w="988" w:type="dxa"/>
            <w:tcBorders>
              <w:top w:val="single" w:sz="4" w:space="0" w:color="auto"/>
              <w:left w:val="nil"/>
              <w:right w:val="single" w:sz="4" w:space="0" w:color="auto"/>
            </w:tcBorders>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72</w:t>
            </w:r>
          </w:p>
        </w:tc>
        <w:tc>
          <w:tcPr>
            <w:tcW w:w="1276" w:type="dxa"/>
            <w:tcBorders>
              <w:top w:val="single" w:sz="4" w:space="0" w:color="auto"/>
              <w:left w:val="nil"/>
              <w:right w:val="single" w:sz="4" w:space="0" w:color="auto"/>
            </w:tcBorders>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84,7</w:t>
            </w:r>
          </w:p>
        </w:tc>
        <w:tc>
          <w:tcPr>
            <w:tcW w:w="4254" w:type="dxa"/>
            <w:tcBorders>
              <w:top w:val="single" w:sz="4" w:space="0" w:color="auto"/>
              <w:left w:val="nil"/>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 xml:space="preserve">Алтайский край, Архангельская, Астраханская, Белгородская, Брянская, Владимирская, Волгоградская, Вологодская, Воронежская области, г. Москва, г.  Санкт-Петербург, г. Севастополь, Забайкальский край, Кабардино-Балкарская Республика, Калининградская, Калужская области, Карачаево-Черкесская Республика, Кемеровская, Кировская, Костромская области, Краснодарский, Красноярский края, Курганская, Курская, Ленинградская, Липецкая, Московская, Мурманская, Нижегородская, Новгородская, Новосибирская, Омская, Оренбургская, Орловская, Пензенская области, Пермский, Приморский края, Псковская область, Республики Алтай, Башкортостан, Бурятия, Дагестан, Ингушетия, Калмыкия, Карелия, Республика Коми, Крым, Марий Эл, Мордовия, Саха (Якутия), Татарстан, Тыва, Хакасия, Рязанская, Самарская, Саратовская область, Сахалинская, </w:t>
            </w:r>
          </w:p>
        </w:tc>
        <w:tc>
          <w:tcPr>
            <w:tcW w:w="1842" w:type="dxa"/>
            <w:tcBorders>
              <w:top w:val="single" w:sz="4" w:space="0" w:color="auto"/>
              <w:left w:val="nil"/>
              <w:right w:val="single" w:sz="4" w:space="0" w:color="auto"/>
            </w:tcBorders>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Амурская область, Еврейская АО, Ивановская, Иркутская, Магаданская, Ненецкий АО, Республики Адыгея, Северная Осетия-Алания, Ростовская, Тамбовская, Тверская области, Камчатский, Приморский края</w:t>
            </w:r>
          </w:p>
        </w:tc>
      </w:tr>
    </w:tbl>
    <w:p w:rsidR="00373660" w:rsidRDefault="00373660" w:rsidP="00373660">
      <w:pPr>
        <w:spacing w:after="0" w:line="240" w:lineRule="auto"/>
      </w:pPr>
    </w:p>
    <w:tbl>
      <w:tblPr>
        <w:tblW w:w="9533" w:type="dxa"/>
        <w:tblLayout w:type="fixed"/>
        <w:tblLook w:val="04A0" w:firstRow="1" w:lastRow="0" w:firstColumn="1" w:lastColumn="0" w:noHBand="0" w:noVBand="1"/>
      </w:tblPr>
      <w:tblGrid>
        <w:gridCol w:w="1135"/>
        <w:gridCol w:w="989"/>
        <w:gridCol w:w="1208"/>
        <w:gridCol w:w="4256"/>
        <w:gridCol w:w="1945"/>
      </w:tblGrid>
      <w:tr w:rsidR="00373660" w:rsidRPr="00C8547F" w:rsidTr="000F714B">
        <w:trPr>
          <w:trHeight w:val="20"/>
          <w:tblHeader/>
        </w:trPr>
        <w:tc>
          <w:tcPr>
            <w:tcW w:w="9533" w:type="dxa"/>
            <w:gridSpan w:val="5"/>
            <w:tcBorders>
              <w:bottom w:val="single" w:sz="4" w:space="0" w:color="auto"/>
            </w:tcBorders>
            <w:noWrap/>
            <w:vAlign w:val="center"/>
          </w:tcPr>
          <w:p w:rsidR="00373660" w:rsidRPr="00C8547F" w:rsidRDefault="00373660" w:rsidP="000F714B">
            <w:pPr>
              <w:widowControl w:val="0"/>
              <w:spacing w:after="0" w:line="240" w:lineRule="auto"/>
              <w:rPr>
                <w:rFonts w:ascii="Times New Roman" w:hAnsi="Times New Roman" w:cs="Times New Roman"/>
                <w:color w:val="000000"/>
                <w:sz w:val="24"/>
                <w:szCs w:val="24"/>
              </w:rPr>
            </w:pPr>
            <w:r w:rsidRPr="00C8547F">
              <w:rPr>
                <w:rFonts w:ascii="Times New Roman" w:hAnsi="Times New Roman" w:cs="Times New Roman"/>
                <w:color w:val="000000"/>
                <w:sz w:val="24"/>
                <w:szCs w:val="24"/>
              </w:rPr>
              <w:t xml:space="preserve">Продолжение </w:t>
            </w:r>
            <w:r>
              <w:rPr>
                <w:rFonts w:ascii="Times New Roman" w:hAnsi="Times New Roman" w:cs="Times New Roman"/>
                <w:color w:val="000000"/>
                <w:sz w:val="24"/>
                <w:szCs w:val="24"/>
              </w:rPr>
              <w:t>табл.</w:t>
            </w:r>
          </w:p>
        </w:tc>
      </w:tr>
      <w:tr w:rsidR="00373660" w:rsidRPr="00A00C9A" w:rsidTr="000F714B">
        <w:trPr>
          <w:trHeight w:val="20"/>
          <w:tblHeader/>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 Сфера</w:t>
            </w:r>
          </w:p>
        </w:tc>
        <w:tc>
          <w:tcPr>
            <w:tcW w:w="989" w:type="dxa"/>
            <w:tcBorders>
              <w:top w:val="single" w:sz="4" w:space="0" w:color="auto"/>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ind w:left="-110" w:right="-107"/>
              <w:jc w:val="center"/>
              <w:rPr>
                <w:rFonts w:ascii="Times New Roman" w:hAnsi="Times New Roman" w:cs="Times New Roman"/>
                <w:color w:val="000000"/>
              </w:rPr>
            </w:pPr>
            <w:r w:rsidRPr="00A00C9A">
              <w:rPr>
                <w:rFonts w:ascii="Times New Roman" w:hAnsi="Times New Roman" w:cs="Times New Roman"/>
                <w:color w:val="000000"/>
              </w:rPr>
              <w:t>Кол-во субъектов РФ</w:t>
            </w:r>
          </w:p>
        </w:tc>
        <w:tc>
          <w:tcPr>
            <w:tcW w:w="1208" w:type="dxa"/>
            <w:tcBorders>
              <w:top w:val="single" w:sz="4" w:space="0" w:color="auto"/>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Доля от общего кол-ва субъектов РФ</w:t>
            </w:r>
          </w:p>
        </w:tc>
        <w:tc>
          <w:tcPr>
            <w:tcW w:w="4256" w:type="dxa"/>
            <w:tcBorders>
              <w:top w:val="single" w:sz="4" w:space="0" w:color="auto"/>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Субъекты РФ, разместившие перечни</w:t>
            </w:r>
          </w:p>
        </w:tc>
        <w:tc>
          <w:tcPr>
            <w:tcW w:w="1945" w:type="dxa"/>
            <w:tcBorders>
              <w:top w:val="single" w:sz="4" w:space="0" w:color="auto"/>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Субъекты РФ, не разместившие перечни</w:t>
            </w:r>
          </w:p>
        </w:tc>
      </w:tr>
      <w:tr w:rsidR="00373660" w:rsidRPr="00A00C9A" w:rsidTr="000F714B">
        <w:trPr>
          <w:trHeight w:val="20"/>
        </w:trPr>
        <w:tc>
          <w:tcPr>
            <w:tcW w:w="1135" w:type="dxa"/>
            <w:tcBorders>
              <w:top w:val="single" w:sz="4" w:space="0" w:color="auto"/>
              <w:left w:val="single" w:sz="4" w:space="0" w:color="auto"/>
              <w:bottom w:val="single" w:sz="4" w:space="0" w:color="auto"/>
              <w:right w:val="single" w:sz="4" w:space="0" w:color="auto"/>
            </w:tcBorders>
            <w:noWrap/>
            <w:vAlign w:val="center"/>
          </w:tcPr>
          <w:p w:rsidR="00373660" w:rsidRPr="00A00C9A" w:rsidRDefault="00373660" w:rsidP="000F714B">
            <w:pPr>
              <w:widowControl w:val="0"/>
              <w:spacing w:after="0" w:line="240" w:lineRule="auto"/>
              <w:ind w:right="-102"/>
              <w:rPr>
                <w:rFonts w:ascii="Times New Roman" w:hAnsi="Times New Roman" w:cs="Times New Roman"/>
                <w:color w:val="000000"/>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p>
        </w:tc>
        <w:tc>
          <w:tcPr>
            <w:tcW w:w="1208" w:type="dxa"/>
            <w:tcBorders>
              <w:top w:val="single" w:sz="4" w:space="0" w:color="auto"/>
              <w:left w:val="single" w:sz="4" w:space="0" w:color="auto"/>
              <w:bottom w:val="single" w:sz="4" w:space="0" w:color="auto"/>
              <w:right w:val="single" w:sz="4" w:space="0" w:color="auto"/>
            </w:tcBorders>
            <w:noWrap/>
            <w:vAlign w:val="center"/>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p>
        </w:tc>
        <w:tc>
          <w:tcPr>
            <w:tcW w:w="4256" w:type="dxa"/>
            <w:tcBorders>
              <w:top w:val="single" w:sz="4" w:space="0" w:color="auto"/>
              <w:left w:val="single" w:sz="4" w:space="0" w:color="auto"/>
              <w:bottom w:val="single" w:sz="4" w:space="0" w:color="auto"/>
              <w:right w:val="single" w:sz="4" w:space="0" w:color="auto"/>
            </w:tcBorders>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Свердловская, Смоленская области, Ставропольский край, Томская, Тульская,</w:t>
            </w:r>
          </w:p>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 xml:space="preserve">Тюменская области, Удмуртская Республика, Ульяновская область, Хабаровский край, Челябинская область, Чеченская Республика, Чувашская Республика, Чукотский </w:t>
            </w:r>
            <w:r w:rsidRPr="00A00C9A">
              <w:rPr>
                <w:rFonts w:ascii="Times New Roman" w:hAnsi="Times New Roman" w:cs="Times New Roman"/>
                <w:color w:val="000000"/>
              </w:rPr>
              <w:lastRenderedPageBreak/>
              <w:t>АО, Ярославская область</w:t>
            </w:r>
          </w:p>
        </w:tc>
        <w:tc>
          <w:tcPr>
            <w:tcW w:w="1945" w:type="dxa"/>
            <w:tcBorders>
              <w:top w:val="single" w:sz="4" w:space="0" w:color="auto"/>
              <w:left w:val="single" w:sz="4" w:space="0" w:color="auto"/>
              <w:bottom w:val="single" w:sz="4" w:space="0" w:color="auto"/>
              <w:right w:val="single" w:sz="4" w:space="0" w:color="auto"/>
            </w:tcBorders>
          </w:tcPr>
          <w:p w:rsidR="00373660" w:rsidRPr="00A00C9A" w:rsidRDefault="00373660" w:rsidP="000F714B">
            <w:pPr>
              <w:widowControl w:val="0"/>
              <w:spacing w:after="0" w:line="240" w:lineRule="auto"/>
              <w:rPr>
                <w:rFonts w:ascii="Times New Roman" w:hAnsi="Times New Roman" w:cs="Times New Roman"/>
                <w:color w:val="000000"/>
              </w:rPr>
            </w:pPr>
          </w:p>
        </w:tc>
      </w:tr>
      <w:tr w:rsidR="00373660" w:rsidRPr="00A00C9A" w:rsidTr="000F714B">
        <w:trPr>
          <w:trHeight w:val="20"/>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rPr>
                <w:rFonts w:ascii="Times New Roman" w:eastAsia="Times New Roman" w:hAnsi="Times New Roman" w:cs="Times New Roman"/>
                <w:color w:val="000000"/>
              </w:rPr>
            </w:pPr>
            <w:r w:rsidRPr="00A00C9A">
              <w:rPr>
                <w:rFonts w:ascii="Times New Roman" w:hAnsi="Times New Roman" w:cs="Times New Roman"/>
                <w:color w:val="000000"/>
              </w:rPr>
              <w:t>Культура</w:t>
            </w:r>
          </w:p>
        </w:tc>
        <w:tc>
          <w:tcPr>
            <w:tcW w:w="989"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68</w:t>
            </w:r>
          </w:p>
        </w:tc>
        <w:tc>
          <w:tcPr>
            <w:tcW w:w="1208"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80</w:t>
            </w:r>
          </w:p>
        </w:tc>
        <w:tc>
          <w:tcPr>
            <w:tcW w:w="4256"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Алтайский край, Амурская, Архангельская, Астраханская, Белгородская, Брянская, Владимирская, Волгоградская, Вологодская, Воронежская области, г.  Санкт-Петербург, Еврейская АО, Забайкальский край, Иркутская область, Кабардино-Балкарская Республика, Калининградская область, Камчатский край, Карачаево-Черкесская Республика, Кемеровская, Кировская, Костромская области, Краснодарский, Красноярский края, Курганская, Ленинградская, Магаданская, Московская, Мурманская, Нижегородская, Новгородская, Новосибирская, Омская, Оренбургская, Псковская области, Республики Адыгея, Алтай, Башкортостан, Бурятия, Дагестан, Карелия, Коми, Марий Эл, Мордовия, Республика Саха (Якутия), Северная Осетия-Алания, Татарстан, Тыва, Хакасия, Ростовская, Рязанская, Самарская, Саратовская, Сахалинская, Свердловская, Смоленская области, Ставропольский край, Тамбовская, Тверская, Томская, Тульская области, Удмуртская Республика, Ульяновская область, Хабаровский край, Челябинская область, Чеченская Республика, Чувашская Республика, Чукотский АО</w:t>
            </w:r>
          </w:p>
        </w:tc>
        <w:tc>
          <w:tcPr>
            <w:tcW w:w="1945"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г. Москва, г. Севастополь, Ивановская, Калужская, Курская, Липецкая области, Ненецкий АО Орловская, Пензенская, Тюменская, Ярославская области, Пермский, Приморский край, Республики Ингушетия, Калмыкия, Крым</w:t>
            </w:r>
          </w:p>
        </w:tc>
      </w:tr>
      <w:tr w:rsidR="00373660" w:rsidRPr="00A00C9A" w:rsidTr="000F714B">
        <w:trPr>
          <w:trHeight w:val="20"/>
        </w:trPr>
        <w:tc>
          <w:tcPr>
            <w:tcW w:w="1135" w:type="dxa"/>
            <w:tcBorders>
              <w:top w:val="single" w:sz="4" w:space="0" w:color="auto"/>
              <w:left w:val="single" w:sz="4" w:space="0" w:color="auto"/>
              <w:bottom w:val="nil"/>
              <w:right w:val="single" w:sz="4" w:space="0" w:color="auto"/>
            </w:tcBorders>
            <w:noWrap/>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Образование</w:t>
            </w:r>
          </w:p>
        </w:tc>
        <w:tc>
          <w:tcPr>
            <w:tcW w:w="989" w:type="dxa"/>
            <w:tcBorders>
              <w:top w:val="single" w:sz="4" w:space="0" w:color="auto"/>
              <w:left w:val="single" w:sz="4" w:space="0" w:color="auto"/>
              <w:bottom w:val="nil"/>
              <w:right w:val="single" w:sz="4" w:space="0" w:color="auto"/>
            </w:tcBorders>
            <w:noWrap/>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69</w:t>
            </w:r>
          </w:p>
        </w:tc>
        <w:tc>
          <w:tcPr>
            <w:tcW w:w="1208" w:type="dxa"/>
            <w:tcBorders>
              <w:top w:val="single" w:sz="4" w:space="0" w:color="auto"/>
              <w:left w:val="single" w:sz="4" w:space="0" w:color="auto"/>
              <w:bottom w:val="nil"/>
              <w:right w:val="single" w:sz="4" w:space="0" w:color="auto"/>
            </w:tcBorders>
            <w:noWrap/>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81,2</w:t>
            </w:r>
          </w:p>
        </w:tc>
        <w:tc>
          <w:tcPr>
            <w:tcW w:w="4256" w:type="dxa"/>
            <w:tcBorders>
              <w:top w:val="single" w:sz="4" w:space="0" w:color="auto"/>
              <w:left w:val="single" w:sz="4" w:space="0" w:color="auto"/>
              <w:bottom w:val="nil"/>
              <w:right w:val="single" w:sz="4" w:space="0" w:color="auto"/>
            </w:tcBorders>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 xml:space="preserve">Алтайский край, Амурская, Архангельская, Белгородская, Брянская, Владимирская, Волгоградская, Воронежская области, г. Санкт-Петербург, г. Севастополь, Еврейская АО, Забайкальский край, Ивановская, Иркутская области, Кабардино-Балкарская Республика, </w:t>
            </w:r>
            <w:r w:rsidRPr="00A00C9A">
              <w:rPr>
                <w:rFonts w:ascii="Times New Roman" w:hAnsi="Times New Roman" w:cs="Times New Roman"/>
                <w:color w:val="000000"/>
              </w:rPr>
              <w:lastRenderedPageBreak/>
              <w:t>Калининградская, Калужская области, Камчатский край, Кемеровская, Кировская, Костромская области, Краснодарский, Красноярский края, Курганская, Курская, Ленинградская, Липецкая, Магаданская, Мурманская, Нижегородская, Новгородская, Новосибирская, Омская, Оренбургская, Орловская, Пензенская, Псковская области, Пермский край,  Республики Алтай, Башкортостан, Бурятия, Дагестан, Ингушетия, Карелия, Коми, Крым, Марий Эл, Мордовия, Татарстан, Тыва, Хакасия,</w:t>
            </w:r>
          </w:p>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Ростовская, Рязанская, Самарская, Саратовская, Сахалинская, Свердловская, Смоленская области, Ставропольский край, Тамбовская, Тверская, Тульская, Тюменская области, Удмуртская Республика, Ульяновская область, Хабаровский край, Челябинская область, Чеченская Республика</w:t>
            </w:r>
          </w:p>
        </w:tc>
        <w:tc>
          <w:tcPr>
            <w:tcW w:w="1945" w:type="dxa"/>
            <w:tcBorders>
              <w:top w:val="single" w:sz="4" w:space="0" w:color="auto"/>
              <w:left w:val="single" w:sz="4" w:space="0" w:color="auto"/>
              <w:bottom w:val="nil"/>
              <w:right w:val="single" w:sz="4" w:space="0" w:color="auto"/>
            </w:tcBorders>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lastRenderedPageBreak/>
              <w:t xml:space="preserve">Астраханская, Вологодская, Московская, Томская, Ярославская области, </w:t>
            </w:r>
          </w:p>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 xml:space="preserve">г. Москва, Ненецкий АО, Приморский </w:t>
            </w:r>
            <w:r w:rsidRPr="00A00C9A">
              <w:rPr>
                <w:rFonts w:ascii="Times New Roman" w:hAnsi="Times New Roman" w:cs="Times New Roman"/>
                <w:color w:val="000000"/>
              </w:rPr>
              <w:lastRenderedPageBreak/>
              <w:t>край, Карачаево-Черкесская Республика, Республики Адыгея, Калмыкия, Саха (Якутия), Северная Осетия-Алания, Чувашская, Чукотский АО</w:t>
            </w:r>
          </w:p>
        </w:tc>
      </w:tr>
      <w:tr w:rsidR="00373660" w:rsidRPr="00A00C9A" w:rsidTr="000F714B">
        <w:trPr>
          <w:trHeight w:val="20"/>
        </w:trPr>
        <w:tc>
          <w:tcPr>
            <w:tcW w:w="1135"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ind w:right="-102"/>
              <w:rPr>
                <w:rFonts w:ascii="Times New Roman" w:hAnsi="Times New Roman" w:cs="Times New Roman"/>
                <w:color w:val="000000"/>
              </w:rPr>
            </w:pPr>
            <w:r w:rsidRPr="00A00C9A">
              <w:rPr>
                <w:rFonts w:ascii="Times New Roman" w:hAnsi="Times New Roman" w:cs="Times New Roman"/>
                <w:color w:val="000000"/>
              </w:rPr>
              <w:lastRenderedPageBreak/>
              <w:t>Социальное обслуживание</w:t>
            </w:r>
          </w:p>
        </w:tc>
        <w:tc>
          <w:tcPr>
            <w:tcW w:w="989"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50</w:t>
            </w:r>
          </w:p>
        </w:tc>
        <w:tc>
          <w:tcPr>
            <w:tcW w:w="1208"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ind w:left="-110" w:right="-107" w:firstLine="110"/>
              <w:jc w:val="center"/>
              <w:rPr>
                <w:rFonts w:ascii="Times New Roman" w:hAnsi="Times New Roman" w:cs="Times New Roman"/>
                <w:color w:val="000000"/>
              </w:rPr>
            </w:pPr>
            <w:r w:rsidRPr="00A00C9A">
              <w:rPr>
                <w:rFonts w:ascii="Times New Roman" w:hAnsi="Times New Roman" w:cs="Times New Roman"/>
                <w:color w:val="000000"/>
              </w:rPr>
              <w:t>58,8</w:t>
            </w:r>
          </w:p>
        </w:tc>
        <w:tc>
          <w:tcPr>
            <w:tcW w:w="4256"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 xml:space="preserve">Амурская, Архангельская, Астраханская, Брянская, Владимирская, Волгоградская, Вологодская, Воронежская области, г. Санкт-Петербург, Забайкальский край, Калининградская, Калужская, Кемеровская, Курганская области, Камчатский, Краснодарский, Красноярский края, Московская, Мурманская, Новгородская, Новосибирская, Омская, Оренбургская, Орловская области, Пермский край, Псковская область, Республики Адыгея, Бурятия, Дагестан, Карелия, Коми, Крым, Марий Эл, Мордовия, Республика Татарстан, Удмуртская, Ростовская, Самарская, Саратовская, </w:t>
            </w:r>
            <w:r w:rsidRPr="00A00C9A">
              <w:rPr>
                <w:rFonts w:ascii="Times New Roman" w:hAnsi="Times New Roman" w:cs="Times New Roman"/>
                <w:color w:val="000000"/>
              </w:rPr>
              <w:lastRenderedPageBreak/>
              <w:t>Сахалинская, Свердловская, Тамбовская, Томская, Тульская, Тюменская, Ульяновская области,  Ставропольский, Хабаровский края, Челябинская область, Чеченская Республика</w:t>
            </w:r>
          </w:p>
        </w:tc>
        <w:tc>
          <w:tcPr>
            <w:tcW w:w="1945"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ind w:left="-63" w:right="-78"/>
              <w:rPr>
                <w:rFonts w:ascii="Times New Roman" w:hAnsi="Times New Roman" w:cs="Times New Roman"/>
              </w:rPr>
            </w:pPr>
            <w:r w:rsidRPr="00A00C9A">
              <w:rPr>
                <w:rFonts w:ascii="Times New Roman" w:hAnsi="Times New Roman" w:cs="Times New Roman"/>
              </w:rPr>
              <w:lastRenderedPageBreak/>
              <w:t>Алтайский край, Белгородская, Ивановская, Иркутская, Кировская, Костромская, Курская,</w:t>
            </w:r>
            <w:r>
              <w:rPr>
                <w:rFonts w:ascii="Times New Roman" w:hAnsi="Times New Roman" w:cs="Times New Roman"/>
              </w:rPr>
              <w:t xml:space="preserve"> Л</w:t>
            </w:r>
            <w:r w:rsidRPr="00A00C9A">
              <w:rPr>
                <w:rFonts w:ascii="Times New Roman" w:hAnsi="Times New Roman" w:cs="Times New Roman"/>
              </w:rPr>
              <w:t>ипецкая, Ленинградская, Магаданская, Нижегородская, Пензенская, Рязанская, Смоленская, Тверская, Ярославская области</w:t>
            </w:r>
          </w:p>
          <w:p w:rsidR="00373660" w:rsidRDefault="00373660" w:rsidP="000F714B">
            <w:pPr>
              <w:widowControl w:val="0"/>
              <w:spacing w:after="0" w:line="240" w:lineRule="auto"/>
              <w:ind w:left="-63"/>
              <w:rPr>
                <w:rFonts w:ascii="Times New Roman" w:hAnsi="Times New Roman" w:cs="Times New Roman"/>
              </w:rPr>
            </w:pPr>
            <w:r w:rsidRPr="00A00C9A">
              <w:rPr>
                <w:rFonts w:ascii="Times New Roman" w:hAnsi="Times New Roman" w:cs="Times New Roman"/>
              </w:rPr>
              <w:t xml:space="preserve">г. Москва, </w:t>
            </w:r>
          </w:p>
          <w:p w:rsidR="00373660" w:rsidRPr="00A00C9A" w:rsidRDefault="00373660" w:rsidP="000F714B">
            <w:pPr>
              <w:widowControl w:val="0"/>
              <w:spacing w:after="0" w:line="240" w:lineRule="auto"/>
              <w:ind w:left="-63"/>
              <w:rPr>
                <w:rFonts w:ascii="Times New Roman" w:hAnsi="Times New Roman" w:cs="Times New Roman"/>
                <w:color w:val="000000"/>
              </w:rPr>
            </w:pPr>
            <w:r w:rsidRPr="00A00C9A">
              <w:rPr>
                <w:rFonts w:ascii="Times New Roman" w:hAnsi="Times New Roman" w:cs="Times New Roman"/>
              </w:rPr>
              <w:t xml:space="preserve">г. Севастополь, Еврейская АО, </w:t>
            </w:r>
            <w:r w:rsidRPr="00A00C9A">
              <w:rPr>
                <w:rFonts w:ascii="Times New Roman" w:hAnsi="Times New Roman" w:cs="Times New Roman"/>
              </w:rPr>
              <w:lastRenderedPageBreak/>
              <w:t>Республики Кабардино-Балкарская, Карачаево-Черкесская, Республики Алтай, Башкортостан, Ингушетия, Калмыкия, Саха (Якутия), Северная Осетия-Алания, Тыва, Хакасия, Чувашская Ненецкий АО, Приморский, Чукотский АО</w:t>
            </w:r>
          </w:p>
        </w:tc>
      </w:tr>
    </w:tbl>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lastRenderedPageBreak/>
        <w:t>Работа по определению организаций-операторов, осуществляющих сбор и обобщение информации (проведение опросов граждан-получателей услуг, оценку объективных показателей качества условий оказания услуг и пр.) по состоянию на 01 октября 2023 г. к концу 3 ква</w:t>
      </w:r>
      <w:r>
        <w:rPr>
          <w:rFonts w:ascii="Times New Roman" w:hAnsi="Times New Roman" w:cs="Times New Roman"/>
          <w:sz w:val="24"/>
          <w:szCs w:val="24"/>
        </w:rPr>
        <w:t>ртала набирала обороты</w:t>
      </w:r>
      <w:r w:rsidRPr="00523088">
        <w:rPr>
          <w:rFonts w:ascii="Times New Roman" w:hAnsi="Times New Roman" w:cs="Times New Roman"/>
          <w:sz w:val="24"/>
          <w:szCs w:val="24"/>
        </w:rPr>
        <w:t>.</w:t>
      </w:r>
    </w:p>
    <w:p w:rsidR="00373660" w:rsidRPr="00523088" w:rsidRDefault="00373660" w:rsidP="00373660">
      <w:pPr>
        <w:widowControl w:val="0"/>
        <w:spacing w:after="0" w:line="240" w:lineRule="auto"/>
        <w:jc w:val="both"/>
        <w:rPr>
          <w:rFonts w:ascii="Times New Roman" w:hAnsi="Times New Roman" w:cs="Times New Roman"/>
          <w:sz w:val="24"/>
          <w:szCs w:val="24"/>
        </w:rPr>
      </w:pPr>
      <w:r w:rsidRPr="00523088">
        <w:rPr>
          <w:rFonts w:ascii="Times New Roman" w:hAnsi="Times New Roman" w:cs="Times New Roman"/>
          <w:sz w:val="24"/>
          <w:szCs w:val="24"/>
        </w:rPr>
        <w:t>– Сведения о количестве субъектов РФ, разместивших на сайте bus.gov.ru информацию об организациях-операторах по итогам 3 квартала 2023 года</w:t>
      </w:r>
    </w:p>
    <w:tbl>
      <w:tblPr>
        <w:tblW w:w="9345" w:type="dxa"/>
        <w:jc w:val="center"/>
        <w:tblLayout w:type="fixed"/>
        <w:tblLook w:val="04A0" w:firstRow="1" w:lastRow="0" w:firstColumn="1" w:lastColumn="0" w:noHBand="0" w:noVBand="1"/>
      </w:tblPr>
      <w:tblGrid>
        <w:gridCol w:w="3112"/>
        <w:gridCol w:w="2970"/>
        <w:gridCol w:w="3263"/>
      </w:tblGrid>
      <w:tr w:rsidR="00373660" w:rsidRPr="00A00C9A" w:rsidTr="000F714B">
        <w:trPr>
          <w:trHeight w:val="893"/>
          <w:jc w:val="center"/>
        </w:trPr>
        <w:tc>
          <w:tcPr>
            <w:tcW w:w="3114" w:type="dxa"/>
            <w:vMerge w:val="restart"/>
            <w:tcBorders>
              <w:top w:val="single" w:sz="4" w:space="0" w:color="auto"/>
              <w:left w:val="single" w:sz="4" w:space="0" w:color="auto"/>
              <w:bottom w:val="nil"/>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Сфера</w:t>
            </w:r>
          </w:p>
        </w:tc>
        <w:tc>
          <w:tcPr>
            <w:tcW w:w="6237" w:type="dxa"/>
            <w:gridSpan w:val="2"/>
            <w:tcBorders>
              <w:top w:val="single" w:sz="4" w:space="0" w:color="auto"/>
              <w:left w:val="single" w:sz="4" w:space="0" w:color="auto"/>
              <w:bottom w:val="nil"/>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rPr>
              <w:t>Количество субъектов РФ, в которых определены организации-операторы по сбору и обобщению информации в ходе независимой оценки в 2023 году</w:t>
            </w:r>
          </w:p>
        </w:tc>
      </w:tr>
      <w:tr w:rsidR="00373660" w:rsidRPr="00A00C9A" w:rsidTr="000F714B">
        <w:trPr>
          <w:trHeight w:val="70"/>
          <w:jc w:val="center"/>
        </w:trPr>
        <w:tc>
          <w:tcPr>
            <w:tcW w:w="3114" w:type="dxa"/>
            <w:vMerge/>
            <w:tcBorders>
              <w:top w:val="single" w:sz="4" w:space="0" w:color="auto"/>
              <w:left w:val="single" w:sz="4" w:space="0" w:color="auto"/>
              <w:bottom w:val="nil"/>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color w:val="000000"/>
              </w:rPr>
            </w:pPr>
          </w:p>
        </w:tc>
        <w:tc>
          <w:tcPr>
            <w:tcW w:w="2972" w:type="dxa"/>
            <w:tcBorders>
              <w:top w:val="single" w:sz="4" w:space="0" w:color="auto"/>
              <w:left w:val="single" w:sz="4" w:space="0" w:color="auto"/>
              <w:bottom w:val="nil"/>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rPr>
              <w:t>Кол-во</w:t>
            </w:r>
          </w:p>
        </w:tc>
        <w:tc>
          <w:tcPr>
            <w:tcW w:w="3265" w:type="dxa"/>
            <w:tcBorders>
              <w:top w:val="single" w:sz="4" w:space="0" w:color="auto"/>
              <w:left w:val="single" w:sz="4" w:space="0" w:color="auto"/>
              <w:bottom w:val="nil"/>
              <w:right w:val="single" w:sz="4" w:space="0" w:color="auto"/>
            </w:tcBorders>
            <w:vAlign w:val="center"/>
            <w:hideMark/>
          </w:tcPr>
          <w:p w:rsidR="00373660" w:rsidRPr="00A00C9A" w:rsidRDefault="00373660" w:rsidP="000F714B">
            <w:pPr>
              <w:widowControl w:val="0"/>
              <w:spacing w:after="0" w:line="240" w:lineRule="auto"/>
              <w:ind w:left="-105" w:right="-106"/>
              <w:jc w:val="center"/>
              <w:rPr>
                <w:rFonts w:ascii="Times New Roman" w:hAnsi="Times New Roman" w:cs="Times New Roman"/>
              </w:rPr>
            </w:pPr>
            <w:r w:rsidRPr="00A00C9A">
              <w:rPr>
                <w:rFonts w:ascii="Times New Roman" w:hAnsi="Times New Roman" w:cs="Times New Roman"/>
              </w:rPr>
              <w:t>% от общего кол-ва субъектов РФ</w:t>
            </w:r>
          </w:p>
        </w:tc>
      </w:tr>
      <w:tr w:rsidR="00373660" w:rsidRPr="00A00C9A" w:rsidTr="000F714B">
        <w:trPr>
          <w:trHeight w:val="2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Здравоохранение</w:t>
            </w:r>
          </w:p>
        </w:tc>
        <w:tc>
          <w:tcPr>
            <w:tcW w:w="2972"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iCs/>
                <w:lang w:val="en-US"/>
              </w:rPr>
              <w:t>17</w:t>
            </w:r>
          </w:p>
        </w:tc>
        <w:tc>
          <w:tcPr>
            <w:tcW w:w="3265" w:type="dxa"/>
            <w:tcBorders>
              <w:top w:val="single" w:sz="4" w:space="0" w:color="auto"/>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iCs/>
                <w:lang w:val="en-US"/>
              </w:rPr>
            </w:pPr>
            <w:r w:rsidRPr="00A00C9A">
              <w:rPr>
                <w:rFonts w:ascii="Times New Roman" w:hAnsi="Times New Roman" w:cs="Times New Roman"/>
                <w:iCs/>
                <w:lang w:val="en-US"/>
              </w:rPr>
              <w:t>20</w:t>
            </w:r>
          </w:p>
        </w:tc>
      </w:tr>
      <w:tr w:rsidR="00373660" w:rsidRPr="00A00C9A" w:rsidTr="000F714B">
        <w:trPr>
          <w:trHeight w:val="20"/>
          <w:jc w:val="center"/>
        </w:trPr>
        <w:tc>
          <w:tcPr>
            <w:tcW w:w="3114" w:type="dxa"/>
            <w:tcBorders>
              <w:top w:val="nil"/>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Культура</w:t>
            </w:r>
          </w:p>
        </w:tc>
        <w:tc>
          <w:tcPr>
            <w:tcW w:w="2972" w:type="dxa"/>
            <w:tcBorders>
              <w:top w:val="nil"/>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iCs/>
                <w:lang w:val="en-US"/>
              </w:rPr>
              <w:t>39</w:t>
            </w:r>
          </w:p>
        </w:tc>
        <w:tc>
          <w:tcPr>
            <w:tcW w:w="3265" w:type="dxa"/>
            <w:tcBorders>
              <w:top w:val="nil"/>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iCs/>
                <w:lang w:val="en-US"/>
              </w:rPr>
            </w:pPr>
            <w:r w:rsidRPr="00A00C9A">
              <w:rPr>
                <w:rFonts w:ascii="Times New Roman" w:hAnsi="Times New Roman" w:cs="Times New Roman"/>
                <w:iCs/>
                <w:lang w:val="en-US"/>
              </w:rPr>
              <w:t>45,9</w:t>
            </w:r>
          </w:p>
        </w:tc>
      </w:tr>
      <w:tr w:rsidR="00373660" w:rsidRPr="00A00C9A" w:rsidTr="000F714B">
        <w:trPr>
          <w:trHeight w:val="20"/>
          <w:jc w:val="center"/>
        </w:trPr>
        <w:tc>
          <w:tcPr>
            <w:tcW w:w="3114" w:type="dxa"/>
            <w:tcBorders>
              <w:top w:val="nil"/>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Образование</w:t>
            </w:r>
          </w:p>
        </w:tc>
        <w:tc>
          <w:tcPr>
            <w:tcW w:w="2972" w:type="dxa"/>
            <w:tcBorders>
              <w:top w:val="nil"/>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iCs/>
                <w:lang w:val="en-US"/>
              </w:rPr>
              <w:t>29</w:t>
            </w:r>
          </w:p>
        </w:tc>
        <w:tc>
          <w:tcPr>
            <w:tcW w:w="3265" w:type="dxa"/>
            <w:tcBorders>
              <w:top w:val="nil"/>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iCs/>
                <w:lang w:val="en-US"/>
              </w:rPr>
            </w:pPr>
            <w:r w:rsidRPr="00A00C9A">
              <w:rPr>
                <w:rFonts w:ascii="Times New Roman" w:hAnsi="Times New Roman" w:cs="Times New Roman"/>
                <w:iCs/>
                <w:lang w:val="en-US"/>
              </w:rPr>
              <w:t>34,1</w:t>
            </w:r>
          </w:p>
        </w:tc>
      </w:tr>
      <w:tr w:rsidR="00373660" w:rsidRPr="00A00C9A" w:rsidTr="000F714B">
        <w:trPr>
          <w:trHeight w:val="20"/>
          <w:jc w:val="center"/>
        </w:trPr>
        <w:tc>
          <w:tcPr>
            <w:tcW w:w="3114" w:type="dxa"/>
            <w:tcBorders>
              <w:top w:val="nil"/>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Социальное обслуживание</w:t>
            </w:r>
          </w:p>
        </w:tc>
        <w:tc>
          <w:tcPr>
            <w:tcW w:w="2972" w:type="dxa"/>
            <w:tcBorders>
              <w:top w:val="nil"/>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iCs/>
                <w:lang w:val="en-US"/>
              </w:rPr>
              <w:t>38</w:t>
            </w:r>
          </w:p>
        </w:tc>
        <w:tc>
          <w:tcPr>
            <w:tcW w:w="3265" w:type="dxa"/>
            <w:tcBorders>
              <w:top w:val="nil"/>
              <w:left w:val="nil"/>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iCs/>
                <w:lang w:val="en-US"/>
              </w:rPr>
            </w:pPr>
            <w:r w:rsidRPr="00A00C9A">
              <w:rPr>
                <w:rFonts w:ascii="Times New Roman" w:hAnsi="Times New Roman" w:cs="Times New Roman"/>
                <w:iCs/>
                <w:lang w:val="en-US"/>
              </w:rPr>
              <w:t>44,7</w:t>
            </w:r>
          </w:p>
        </w:tc>
      </w:tr>
    </w:tbl>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t xml:space="preserve">Наивысшие показатели сферах культуры (45,9) и социального обслуживания (44,7). В сфере образования операторы определены в 34,1 % субъектов Российской Федерации. </w:t>
      </w:r>
      <w:r w:rsidRPr="00523088">
        <w:rPr>
          <w:rFonts w:ascii="Times New Roman" w:hAnsi="Times New Roman" w:cs="Times New Roman"/>
          <w:sz w:val="24"/>
          <w:szCs w:val="24"/>
        </w:rPr>
        <w:lastRenderedPageBreak/>
        <w:t xml:space="preserve">Самый невысокий показатель в сфере здравоохранения – 20%. При этом, в сферах культуры и образования определены операторы на муниципальном уровне. Так, в сфере образования на 2023 год определены 392 оператора, в сфере культуры 291 оператор. </w:t>
      </w:r>
    </w:p>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t xml:space="preserve">В сфере социального обслуживания в качестве операторов в ряде субъектов Российской Федерации выступают ВУЗы. (Астраханская область, Саратовская область, Липецкая область, Свердловская область). </w:t>
      </w:r>
    </w:p>
    <w:p w:rsidR="00373660" w:rsidRDefault="00373660" w:rsidP="00373660">
      <w:pPr>
        <w:widowControl w:val="0"/>
        <w:spacing w:after="0" w:line="360" w:lineRule="auto"/>
        <w:ind w:firstLine="709"/>
        <w:jc w:val="both"/>
        <w:rPr>
          <w:rFonts w:ascii="Times New Roman" w:hAnsi="Times New Roman" w:cs="Times New Roman"/>
          <w:iCs/>
          <w:sz w:val="24"/>
          <w:szCs w:val="24"/>
        </w:rPr>
      </w:pPr>
      <w:r w:rsidRPr="00523088">
        <w:rPr>
          <w:rFonts w:ascii="Times New Roman" w:hAnsi="Times New Roman" w:cs="Times New Roman"/>
          <w:sz w:val="24"/>
          <w:szCs w:val="24"/>
        </w:rPr>
        <w:t>Прочно закрепились на рынке по проведению опросов граждан-получателей услуг ряд компаний. При чем такая популярность данных компаний наблюдается по всем сферам.  Например, ООО "АС-Холдинг" определено оператором в сфере социального обслуживания в 5 субъектах (Республика Саха (Якутия), г. Санкт-Петербург, Тульская область, Томская область, Калининградской области). Также известным оператором является ООО исследовательский центр "Нови". Данная организация заявлена оператором в 4 регионах (Архангельская область, Удмуртская Республика, Омская область, Калужская область). В ряде субъектов определены операторами ООО "Центр гуманитарных, социально-экономических и политических исследован</w:t>
      </w:r>
      <w:r>
        <w:rPr>
          <w:rFonts w:ascii="Times New Roman" w:hAnsi="Times New Roman" w:cs="Times New Roman"/>
          <w:sz w:val="24"/>
          <w:szCs w:val="24"/>
        </w:rPr>
        <w:t>ий-1" и ООО "Эмпирика"</w:t>
      </w:r>
      <w:r w:rsidRPr="00523088">
        <w:rPr>
          <w:rFonts w:ascii="Times New Roman" w:hAnsi="Times New Roman" w:cs="Times New Roman"/>
          <w:sz w:val="24"/>
          <w:szCs w:val="24"/>
        </w:rPr>
        <w:t>.</w:t>
      </w:r>
    </w:p>
    <w:p w:rsidR="00373660" w:rsidRPr="00373660" w:rsidRDefault="00373660" w:rsidP="00373660">
      <w:pPr>
        <w:widowControl w:val="0"/>
        <w:spacing w:after="0" w:line="360" w:lineRule="auto"/>
        <w:jc w:val="both"/>
        <w:rPr>
          <w:rFonts w:ascii="Times New Roman" w:hAnsi="Times New Roman" w:cs="Times New Roman"/>
          <w:iCs/>
          <w:sz w:val="24"/>
          <w:szCs w:val="24"/>
        </w:rPr>
      </w:pPr>
      <w:r w:rsidRPr="00523088">
        <w:rPr>
          <w:rFonts w:ascii="Times New Roman" w:hAnsi="Times New Roman" w:cs="Times New Roman"/>
          <w:sz w:val="24"/>
          <w:szCs w:val="24"/>
        </w:rPr>
        <w:t xml:space="preserve"> – Сведения о субъектах РФ, разместивших на сайте bus.gov.ru информацию об организациях-операторах в сфере социального обслуживания по итогам 3 квартала 2023 года</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3"/>
        <w:gridCol w:w="5246"/>
      </w:tblGrid>
      <w:tr w:rsidR="00373660" w:rsidRPr="00A00C9A" w:rsidTr="000F714B">
        <w:trPr>
          <w:trHeight w:val="268"/>
          <w:tblHeade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Сфера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rPr>
              <w:t>Субъект РФ</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rPr>
              <w:t>Наименование оператора</w:t>
            </w:r>
          </w:p>
        </w:tc>
      </w:tr>
      <w:tr w:rsidR="00373660" w:rsidRPr="00A00C9A" w:rsidTr="000F714B">
        <w:trPr>
          <w:trHeight w:val="2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Социальное обслуживание</w:t>
            </w: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Смоленская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ООО "Электронный ресурсный центр"</w:t>
            </w:r>
          </w:p>
        </w:tc>
      </w:tr>
      <w:tr w:rsidR="00373660" w:rsidRPr="00A00C9A" w:rsidTr="000F714B">
        <w:trPr>
          <w:trHeight w:val="295"/>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Республика Бурятия</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ООО "Центр гуманитарных, социально-экономических и политических исследований-1"</w:t>
            </w:r>
          </w:p>
        </w:tc>
      </w:tr>
      <w:tr w:rsidR="00373660" w:rsidRPr="00A00C9A" w:rsidTr="000F714B">
        <w:trPr>
          <w:trHeight w:val="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Республика Саха (Якутия)</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ООО "АС-Холдинг"</w:t>
            </w:r>
          </w:p>
        </w:tc>
      </w:tr>
      <w:tr w:rsidR="00373660" w:rsidRPr="00A00C9A" w:rsidTr="000F714B">
        <w:trPr>
          <w:trHeight w:val="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Республика Адыгея</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АНО ДО "Образовательный центр "Планета"</w:t>
            </w:r>
          </w:p>
        </w:tc>
      </w:tr>
      <w:tr w:rsidR="00373660" w:rsidRPr="00A00C9A" w:rsidTr="000F714B">
        <w:trPr>
          <w:trHeight w:val="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Курганская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ООО "Эмпирика"</w:t>
            </w:r>
          </w:p>
        </w:tc>
      </w:tr>
    </w:tbl>
    <w:p w:rsidR="00373660" w:rsidRDefault="00373660" w:rsidP="00373660"/>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3"/>
        <w:gridCol w:w="5246"/>
      </w:tblGrid>
      <w:tr w:rsidR="00373660" w:rsidRPr="00A00C9A" w:rsidTr="000F714B">
        <w:trPr>
          <w:trHeight w:val="268"/>
          <w:tblHeader/>
          <w:jc w:val="center"/>
        </w:trPr>
        <w:tc>
          <w:tcPr>
            <w:tcW w:w="9500" w:type="dxa"/>
            <w:gridSpan w:val="3"/>
            <w:tcBorders>
              <w:top w:val="nil"/>
              <w:left w:val="nil"/>
              <w:bottom w:val="single" w:sz="4" w:space="0" w:color="auto"/>
              <w:right w:val="nil"/>
            </w:tcBorders>
            <w:vAlign w:val="center"/>
          </w:tcPr>
          <w:p w:rsidR="00373660" w:rsidRPr="00C8547F" w:rsidRDefault="00373660" w:rsidP="000F714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табл.</w:t>
            </w:r>
          </w:p>
        </w:tc>
      </w:tr>
      <w:tr w:rsidR="00373660" w:rsidRPr="00A00C9A" w:rsidTr="000F714B">
        <w:trPr>
          <w:trHeight w:val="268"/>
          <w:tblHeade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Сфера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rPr>
              <w:t>Субъект РФ</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rPr>
            </w:pPr>
            <w:r w:rsidRPr="00A00C9A">
              <w:rPr>
                <w:rFonts w:ascii="Times New Roman" w:hAnsi="Times New Roman" w:cs="Times New Roman"/>
              </w:rPr>
              <w:t>Наименование оператора</w:t>
            </w:r>
          </w:p>
        </w:tc>
      </w:tr>
      <w:tr w:rsidR="00373660" w:rsidRPr="00A00C9A" w:rsidTr="000F714B">
        <w:trPr>
          <w:trHeight w:val="20"/>
          <w:jc w:val="center"/>
        </w:trPr>
        <w:tc>
          <w:tcPr>
            <w:tcW w:w="1701" w:type="dxa"/>
            <w:vMerge w:val="restart"/>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Владимирская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ООО "Исследовательская компания "Среднерусский консалтинговый центр"</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Волгоградская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"Центр гуманитарных, социально-экономических и политических исследований-1"</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Кемеровская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АНО поддержки некоммерческих организаций Кузбасский центр "Инициатива"</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Ставропольский край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both"/>
              <w:rPr>
                <w:rFonts w:ascii="Times New Roman" w:hAnsi="Times New Roman" w:cs="Times New Roman"/>
                <w:iCs/>
              </w:rPr>
            </w:pPr>
            <w:r w:rsidRPr="00A00C9A">
              <w:rPr>
                <w:rFonts w:ascii="Times New Roman" w:hAnsi="Times New Roman" w:cs="Times New Roman"/>
              </w:rPr>
              <w:t>ООО "Центр оценки "Эксперт-профи"</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Республика Мордовия</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 xml:space="preserve">ГКУ </w:t>
            </w:r>
            <w:r w:rsidRPr="00A00C9A">
              <w:rPr>
                <w:rFonts w:ascii="Times New Roman" w:hAnsi="Times New Roman" w:cs="Times New Roman"/>
              </w:rPr>
              <w:t>Республики Мордовия "Научный центр социально-экономического мониторинга"</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Архангельская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исследовательский центр "Нови"</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Орловская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"Алтей"</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Удмуртская Республика</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исследовательский центр "Нови"</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г. Санкт-Петербург</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"АС-Холдинг"</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Астраханская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ФГБОУВО "Астраханский государственный университет имени В.Н. Татищева"</w:t>
            </w:r>
            <w:r w:rsidRPr="00A00C9A">
              <w:rPr>
                <w:rFonts w:ascii="Times New Roman" w:hAnsi="Times New Roman" w:cs="Times New Roman"/>
                <w:iCs/>
              </w:rPr>
              <w:t xml:space="preserve"> </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Тюменская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"Эмпирика"</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Саратовская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 xml:space="preserve">ФГБОУВО </w:t>
            </w:r>
            <w:r w:rsidRPr="00A00C9A">
              <w:rPr>
                <w:rFonts w:ascii="Times New Roman" w:hAnsi="Times New Roman" w:cs="Times New Roman"/>
              </w:rPr>
              <w:t>"Саратовский государственный технический университет имени Гагарина Ю.А."</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Самарская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"Маркетинговое агентство "360 градусов"</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Хабаровский край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исследовательский центр "Нови"</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Пензенская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АНО центр социальных и управленческих проектов "Инициатива"</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Липецкая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ФГБОУВО "Липецкий государственный педагогический университет имени П.П. Семенова-Тян-Шанского"</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both"/>
              <w:rPr>
                <w:rFonts w:ascii="Times New Roman" w:hAnsi="Times New Roman" w:cs="Times New Roman"/>
                <w:iCs/>
              </w:rPr>
            </w:pPr>
            <w:r w:rsidRPr="00A00C9A">
              <w:rPr>
                <w:rFonts w:ascii="Times New Roman" w:hAnsi="Times New Roman" w:cs="Times New Roman"/>
                <w:iCs/>
              </w:rPr>
              <w:t>Камчатский край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"Эмпирика"</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Свердловская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ФГБОУВО Уральский федеральный университет имени первого Президента России Б.Н. Ельцина"</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Омская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исследовательский центр "Нови"</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Мурманская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"Артефакт"</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Тульская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"АС-Холдинг"</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Калужская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исследовательский центр "Нови"</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Забайкальский край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Фонд поддержки детей, находящихся в трудной жизненной ситуации</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Республика Коми</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rPr>
              <w:t>ООО "Центр гуманитарных, социально-экономических и политических исследований-1"</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Томская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ООО "АС-Холдинг"</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iCs/>
              </w:rPr>
            </w:pPr>
            <w:r w:rsidRPr="00A00C9A">
              <w:rPr>
                <w:rFonts w:ascii="Times New Roman" w:hAnsi="Times New Roman" w:cs="Times New Roman"/>
                <w:iCs/>
              </w:rPr>
              <w:t>Республика Карелия</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both"/>
              <w:rPr>
                <w:rFonts w:ascii="Times New Roman" w:hAnsi="Times New Roman" w:cs="Times New Roman"/>
              </w:rPr>
            </w:pPr>
            <w:r w:rsidRPr="00A00C9A">
              <w:rPr>
                <w:rFonts w:ascii="Times New Roman" w:hAnsi="Times New Roman" w:cs="Times New Roman"/>
              </w:rPr>
              <w:t>ООО "Маркетинговое агентство "Медиа-полюс"</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both"/>
              <w:rPr>
                <w:rFonts w:ascii="Times New Roman" w:hAnsi="Times New Roman" w:cs="Times New Roman"/>
              </w:rPr>
            </w:pPr>
            <w:r w:rsidRPr="00A00C9A">
              <w:rPr>
                <w:rFonts w:ascii="Times New Roman" w:hAnsi="Times New Roman" w:cs="Times New Roman"/>
              </w:rPr>
              <w:t>Ростовская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both"/>
              <w:rPr>
                <w:rFonts w:ascii="Times New Roman" w:hAnsi="Times New Roman" w:cs="Times New Roman"/>
              </w:rPr>
            </w:pPr>
            <w:r w:rsidRPr="00A00C9A">
              <w:rPr>
                <w:rFonts w:ascii="Times New Roman" w:hAnsi="Times New Roman" w:cs="Times New Roman"/>
              </w:rPr>
              <w:t>ГАУ Ростовской области "Областной учебно-консультационный центр "Труд"</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both"/>
              <w:rPr>
                <w:rFonts w:ascii="Times New Roman" w:hAnsi="Times New Roman" w:cs="Times New Roman"/>
              </w:rPr>
            </w:pPr>
            <w:r w:rsidRPr="00A00C9A">
              <w:rPr>
                <w:rFonts w:ascii="Times New Roman" w:hAnsi="Times New Roman" w:cs="Times New Roman"/>
              </w:rPr>
              <w:t>Оренбургская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both"/>
              <w:rPr>
                <w:rFonts w:ascii="Times New Roman" w:hAnsi="Times New Roman" w:cs="Times New Roman"/>
              </w:rPr>
            </w:pPr>
            <w:r w:rsidRPr="00A00C9A">
              <w:rPr>
                <w:rFonts w:ascii="Times New Roman" w:hAnsi="Times New Roman" w:cs="Times New Roman"/>
              </w:rPr>
              <w:t>ГКУ "Государственное юридическое бюро Оренбургской области"</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both"/>
              <w:rPr>
                <w:rFonts w:ascii="Times New Roman" w:hAnsi="Times New Roman" w:cs="Times New Roman"/>
              </w:rPr>
            </w:pPr>
            <w:r w:rsidRPr="00A00C9A">
              <w:rPr>
                <w:rFonts w:ascii="Times New Roman" w:hAnsi="Times New Roman" w:cs="Times New Roman"/>
              </w:rPr>
              <w:t>Республика Дагестан</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both"/>
              <w:rPr>
                <w:rFonts w:ascii="Times New Roman" w:hAnsi="Times New Roman" w:cs="Times New Roman"/>
              </w:rPr>
            </w:pPr>
            <w:r w:rsidRPr="00A00C9A">
              <w:rPr>
                <w:rFonts w:ascii="Times New Roman" w:hAnsi="Times New Roman" w:cs="Times New Roman"/>
              </w:rPr>
              <w:t>ООО "СИЦ"</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Псковская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ООО "Центр гуманитарных, социально-экономических и политических исследований-2"</w:t>
            </w:r>
          </w:p>
        </w:tc>
      </w:tr>
      <w:tr w:rsidR="00373660" w:rsidRPr="00A00C9A" w:rsidTr="000F714B">
        <w:trPr>
          <w:trHeight w:val="20"/>
          <w:jc w:val="center"/>
        </w:trPr>
        <w:tc>
          <w:tcPr>
            <w:tcW w:w="1701" w:type="dxa"/>
            <w:vMerge/>
            <w:tcBorders>
              <w:left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Калининградская область</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ООО "АС-Холдинг"</w:t>
            </w:r>
          </w:p>
        </w:tc>
      </w:tr>
      <w:tr w:rsidR="00373660" w:rsidRPr="00A00C9A" w:rsidTr="000F714B">
        <w:trPr>
          <w:trHeight w:val="20"/>
          <w:jc w:val="center"/>
        </w:trPr>
        <w:tc>
          <w:tcPr>
            <w:tcW w:w="1701" w:type="dxa"/>
            <w:vMerge/>
            <w:tcBorders>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eastAsia="Times New Roman" w:hAnsi="Times New Roman" w:cs="Times New Roman"/>
                <w:iC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Республика Татарстан</w:t>
            </w:r>
          </w:p>
        </w:tc>
        <w:tc>
          <w:tcPr>
            <w:tcW w:w="5246"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rPr>
                <w:rFonts w:ascii="Times New Roman" w:hAnsi="Times New Roman" w:cs="Times New Roman"/>
              </w:rPr>
            </w:pPr>
            <w:r w:rsidRPr="00A00C9A">
              <w:rPr>
                <w:rFonts w:ascii="Times New Roman" w:hAnsi="Times New Roman" w:cs="Times New Roman"/>
              </w:rPr>
              <w:t>ООО "Перспектива-Н"</w:t>
            </w:r>
          </w:p>
        </w:tc>
      </w:tr>
    </w:tbl>
    <w:p w:rsidR="00373660" w:rsidRDefault="00373660" w:rsidP="00373660">
      <w:pPr>
        <w:widowControl w:val="0"/>
        <w:spacing w:after="0" w:line="360" w:lineRule="auto"/>
        <w:ind w:firstLine="709"/>
        <w:jc w:val="both"/>
        <w:rPr>
          <w:rFonts w:ascii="Times New Roman" w:eastAsia="Times New Roman" w:hAnsi="Times New Roman" w:cs="Times New Roman"/>
          <w:sz w:val="28"/>
          <w:szCs w:val="28"/>
          <w:highlight w:val="yellow"/>
          <w:lang w:eastAsia="ru-RU"/>
        </w:rPr>
      </w:pPr>
    </w:p>
    <w:p w:rsidR="00373660" w:rsidRPr="00523088" w:rsidRDefault="00373660" w:rsidP="00373660">
      <w:pPr>
        <w:widowControl w:val="0"/>
        <w:spacing w:after="0" w:line="360" w:lineRule="auto"/>
        <w:ind w:firstLine="709"/>
        <w:jc w:val="both"/>
        <w:rPr>
          <w:rFonts w:ascii="Times New Roman" w:eastAsia="Times New Roman" w:hAnsi="Times New Roman" w:cs="Times New Roman"/>
          <w:sz w:val="28"/>
          <w:szCs w:val="28"/>
          <w:highlight w:val="yellow"/>
          <w:lang w:eastAsia="ru-RU"/>
        </w:rPr>
      </w:pPr>
    </w:p>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t xml:space="preserve">Результаты независимой оценки в отношении запланированных на 2023 год организаций по итогам третьего квартала 2023 года размещаются неактивно (таблица 15). </w:t>
      </w:r>
    </w:p>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t xml:space="preserve">Отсутствуют размещенные результаты по организациям, включенным в перечни для проведения оценки в сфере здравоохранения и медико-социальной экспертизы. </w:t>
      </w:r>
    </w:p>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t xml:space="preserve">В сферах культуры, образования и социального обслуживания результаты размещены примерно одинаково – в сфере культуры 13,7 % от организаций, включенных в перечни, в сфере социального обслуживания этот показатель составляет 15,9%, в сфере образования – 16,3%. </w:t>
      </w:r>
    </w:p>
    <w:p w:rsidR="00373660" w:rsidRPr="00A00C9A" w:rsidRDefault="00373660" w:rsidP="00373660">
      <w:pPr>
        <w:widowControl w:val="0"/>
        <w:spacing w:after="0" w:line="360" w:lineRule="auto"/>
        <w:ind w:firstLine="709"/>
        <w:jc w:val="both"/>
        <w:rPr>
          <w:rFonts w:ascii="Times New Roman" w:hAnsi="Times New Roman" w:cs="Times New Roman"/>
        </w:rPr>
      </w:pPr>
      <w:r w:rsidRPr="00523088">
        <w:rPr>
          <w:rFonts w:ascii="Times New Roman" w:hAnsi="Times New Roman" w:cs="Times New Roman"/>
          <w:sz w:val="24"/>
          <w:szCs w:val="24"/>
        </w:rPr>
        <w:t xml:space="preserve"> – </w:t>
      </w:r>
      <w:r w:rsidRPr="00523088">
        <w:rPr>
          <w:rFonts w:ascii="Times New Roman" w:hAnsi="Times New Roman" w:cs="Times New Roman"/>
          <w:color w:val="000000"/>
          <w:sz w:val="24"/>
          <w:szCs w:val="24"/>
        </w:rPr>
        <w:t xml:space="preserve">Количество организаций, по которым размещены количественные результаты </w:t>
      </w:r>
      <w:r w:rsidRPr="00523088">
        <w:rPr>
          <w:rFonts w:ascii="Times New Roman" w:hAnsi="Times New Roman" w:cs="Times New Roman"/>
          <w:sz w:val="24"/>
          <w:szCs w:val="24"/>
        </w:rPr>
        <w:t xml:space="preserve">по итогам 3 квартала 2023 года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57"/>
        <w:gridCol w:w="2552"/>
        <w:gridCol w:w="2147"/>
      </w:tblGrid>
      <w:tr w:rsidR="00373660" w:rsidRPr="00A00C9A" w:rsidTr="000F714B">
        <w:trPr>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Отрасль социальной сферы</w:t>
            </w:r>
          </w:p>
        </w:tc>
        <w:tc>
          <w:tcPr>
            <w:tcW w:w="1957"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 xml:space="preserve">Количество организаций, включенных в перечни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Количество организаций, по которым размещены результаты по итогам НОК 2023 года</w:t>
            </w:r>
          </w:p>
        </w:tc>
        <w:tc>
          <w:tcPr>
            <w:tcW w:w="2147"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 xml:space="preserve">Доля от числа организаций, включенных в перечни </w:t>
            </w:r>
          </w:p>
        </w:tc>
      </w:tr>
      <w:tr w:rsidR="00373660" w:rsidRPr="00A00C9A" w:rsidTr="000F714B">
        <w:trPr>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Здравоохранение</w:t>
            </w:r>
          </w:p>
        </w:tc>
        <w:tc>
          <w:tcPr>
            <w:tcW w:w="1957"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2733</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0</w:t>
            </w:r>
          </w:p>
        </w:tc>
        <w:tc>
          <w:tcPr>
            <w:tcW w:w="2147"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0</w:t>
            </w:r>
          </w:p>
        </w:tc>
      </w:tr>
      <w:tr w:rsidR="00373660" w:rsidRPr="00A00C9A" w:rsidTr="000F714B">
        <w:trPr>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Культура</w:t>
            </w:r>
          </w:p>
        </w:tc>
        <w:tc>
          <w:tcPr>
            <w:tcW w:w="1957"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3174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435</w:t>
            </w:r>
          </w:p>
        </w:tc>
        <w:tc>
          <w:tcPr>
            <w:tcW w:w="2147"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jc w:val="center"/>
              <w:rPr>
                <w:rFonts w:ascii="Times New Roman" w:hAnsi="Times New Roman" w:cs="Times New Roman"/>
                <w:color w:val="000000"/>
                <w:lang w:val="en-US"/>
              </w:rPr>
            </w:pPr>
            <w:r w:rsidRPr="00A00C9A">
              <w:rPr>
                <w:rFonts w:ascii="Times New Roman" w:hAnsi="Times New Roman" w:cs="Times New Roman"/>
                <w:color w:val="000000"/>
              </w:rPr>
              <w:t>13</w:t>
            </w:r>
            <w:r w:rsidRPr="00A00C9A">
              <w:rPr>
                <w:rFonts w:ascii="Times New Roman" w:hAnsi="Times New Roman" w:cs="Times New Roman"/>
                <w:color w:val="000000"/>
                <w:lang w:val="en-US"/>
              </w:rPr>
              <w:t>,7</w:t>
            </w:r>
          </w:p>
        </w:tc>
      </w:tr>
      <w:tr w:rsidR="00373660" w:rsidRPr="00A00C9A" w:rsidTr="000F714B">
        <w:trPr>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Образование</w:t>
            </w:r>
          </w:p>
        </w:tc>
        <w:tc>
          <w:tcPr>
            <w:tcW w:w="1957"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18958</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3091</w:t>
            </w:r>
          </w:p>
        </w:tc>
        <w:tc>
          <w:tcPr>
            <w:tcW w:w="2147"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jc w:val="center"/>
              <w:rPr>
                <w:rFonts w:ascii="Times New Roman" w:hAnsi="Times New Roman" w:cs="Times New Roman"/>
                <w:color w:val="000000"/>
                <w:lang w:val="en-US"/>
              </w:rPr>
            </w:pPr>
            <w:r w:rsidRPr="00A00C9A">
              <w:rPr>
                <w:rFonts w:ascii="Times New Roman" w:hAnsi="Times New Roman" w:cs="Times New Roman"/>
                <w:color w:val="000000"/>
                <w:lang w:val="en-US"/>
              </w:rPr>
              <w:t>16,3</w:t>
            </w:r>
          </w:p>
        </w:tc>
      </w:tr>
      <w:tr w:rsidR="00373660" w:rsidRPr="00A00C9A" w:rsidTr="000F714B">
        <w:trPr>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Социальное обслуживание</w:t>
            </w:r>
          </w:p>
        </w:tc>
        <w:tc>
          <w:tcPr>
            <w:tcW w:w="1957"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1550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246</w:t>
            </w:r>
          </w:p>
        </w:tc>
        <w:tc>
          <w:tcPr>
            <w:tcW w:w="2147"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jc w:val="center"/>
              <w:rPr>
                <w:rFonts w:ascii="Times New Roman" w:hAnsi="Times New Roman" w:cs="Times New Roman"/>
                <w:color w:val="000000"/>
                <w:lang w:val="en-US"/>
              </w:rPr>
            </w:pPr>
            <w:r w:rsidRPr="00A00C9A">
              <w:rPr>
                <w:rFonts w:ascii="Times New Roman" w:hAnsi="Times New Roman" w:cs="Times New Roman"/>
                <w:color w:val="000000"/>
                <w:lang w:val="en-US"/>
              </w:rPr>
              <w:t>15,9</w:t>
            </w:r>
          </w:p>
        </w:tc>
      </w:tr>
      <w:tr w:rsidR="00373660" w:rsidRPr="00A00C9A" w:rsidTr="000F714B">
        <w:trPr>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373660" w:rsidRPr="00A00C9A" w:rsidRDefault="00373660" w:rsidP="000F714B">
            <w:pPr>
              <w:widowControl w:val="0"/>
              <w:spacing w:after="0" w:line="240" w:lineRule="auto"/>
              <w:rPr>
                <w:rFonts w:ascii="Times New Roman" w:hAnsi="Times New Roman" w:cs="Times New Roman"/>
                <w:color w:val="000000"/>
              </w:rPr>
            </w:pPr>
            <w:r w:rsidRPr="00A00C9A">
              <w:rPr>
                <w:rFonts w:ascii="Times New Roman" w:hAnsi="Times New Roman" w:cs="Times New Roman"/>
                <w:color w:val="000000"/>
              </w:rPr>
              <w:t>МСЭ</w:t>
            </w:r>
          </w:p>
        </w:tc>
        <w:tc>
          <w:tcPr>
            <w:tcW w:w="1957"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28</w:t>
            </w:r>
          </w:p>
        </w:tc>
        <w:tc>
          <w:tcPr>
            <w:tcW w:w="2552" w:type="dxa"/>
            <w:tcBorders>
              <w:top w:val="single" w:sz="4" w:space="0" w:color="auto"/>
              <w:left w:val="single" w:sz="4" w:space="0" w:color="auto"/>
              <w:bottom w:val="single" w:sz="4" w:space="0" w:color="auto"/>
              <w:right w:val="single" w:sz="4" w:space="0" w:color="auto"/>
            </w:tcBorders>
            <w:vAlign w:val="center"/>
            <w:hideMark/>
          </w:tcPr>
          <w:p w:rsidR="00373660" w:rsidRPr="00A00C9A" w:rsidRDefault="00373660" w:rsidP="000F714B">
            <w:pPr>
              <w:widowControl w:val="0"/>
              <w:spacing w:after="0" w:line="240" w:lineRule="auto"/>
              <w:jc w:val="center"/>
              <w:rPr>
                <w:rFonts w:ascii="Times New Roman" w:hAnsi="Times New Roman" w:cs="Times New Roman"/>
                <w:color w:val="000000"/>
              </w:rPr>
            </w:pPr>
            <w:r w:rsidRPr="00A00C9A">
              <w:rPr>
                <w:rFonts w:ascii="Times New Roman" w:hAnsi="Times New Roman" w:cs="Times New Roman"/>
                <w:color w:val="000000"/>
              </w:rPr>
              <w:t>0</w:t>
            </w:r>
          </w:p>
        </w:tc>
        <w:tc>
          <w:tcPr>
            <w:tcW w:w="2147" w:type="dxa"/>
            <w:tcBorders>
              <w:top w:val="single" w:sz="4" w:space="0" w:color="auto"/>
              <w:left w:val="single" w:sz="4" w:space="0" w:color="auto"/>
              <w:bottom w:val="single" w:sz="4" w:space="0" w:color="auto"/>
              <w:right w:val="single" w:sz="4" w:space="0" w:color="auto"/>
            </w:tcBorders>
            <w:hideMark/>
          </w:tcPr>
          <w:p w:rsidR="00373660" w:rsidRPr="00A00C9A" w:rsidRDefault="00373660" w:rsidP="000F714B">
            <w:pPr>
              <w:widowControl w:val="0"/>
              <w:spacing w:after="0" w:line="240" w:lineRule="auto"/>
              <w:jc w:val="center"/>
              <w:rPr>
                <w:rFonts w:ascii="Times New Roman" w:hAnsi="Times New Roman" w:cs="Times New Roman"/>
                <w:color w:val="000000"/>
                <w:lang w:val="en-US"/>
              </w:rPr>
            </w:pPr>
            <w:r w:rsidRPr="00A00C9A">
              <w:rPr>
                <w:rFonts w:ascii="Times New Roman" w:hAnsi="Times New Roman" w:cs="Times New Roman"/>
                <w:color w:val="000000"/>
                <w:lang w:val="en-US"/>
              </w:rPr>
              <w:t>0</w:t>
            </w:r>
          </w:p>
        </w:tc>
      </w:tr>
    </w:tbl>
    <w:p w:rsidR="00373660" w:rsidRPr="00A00C9A" w:rsidRDefault="00373660" w:rsidP="00373660">
      <w:pPr>
        <w:widowControl w:val="0"/>
        <w:spacing w:after="0" w:line="360" w:lineRule="auto"/>
        <w:jc w:val="both"/>
        <w:rPr>
          <w:rFonts w:ascii="Times New Roman" w:eastAsia="Times New Roman" w:hAnsi="Times New Roman" w:cs="Times New Roman"/>
          <w:sz w:val="24"/>
          <w:szCs w:val="24"/>
          <w:lang w:eastAsia="ru-RU"/>
        </w:rPr>
      </w:pPr>
    </w:p>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t>Традиционно количественные результаты независимой оценки качества начинают размещаться к концу 4 квартала и более активно в первом квартале следующего года.</w:t>
      </w:r>
    </w:p>
    <w:p w:rsidR="00373660" w:rsidRPr="00523088" w:rsidRDefault="00373660" w:rsidP="00373660">
      <w:pPr>
        <w:widowControl w:val="0"/>
        <w:spacing w:after="0" w:line="360" w:lineRule="auto"/>
        <w:ind w:firstLine="709"/>
        <w:jc w:val="both"/>
        <w:rPr>
          <w:rFonts w:ascii="Times New Roman" w:hAnsi="Times New Roman" w:cs="Times New Roman"/>
          <w:sz w:val="24"/>
          <w:szCs w:val="24"/>
        </w:rPr>
      </w:pPr>
      <w:r w:rsidRPr="00523088">
        <w:rPr>
          <w:rFonts w:ascii="Times New Roman" w:hAnsi="Times New Roman" w:cs="Times New Roman"/>
          <w:sz w:val="24"/>
          <w:szCs w:val="24"/>
        </w:rPr>
        <w:t xml:space="preserve">По итогам проведения независимой оценки качества в соответствии с требованиями законодательства предусмотрена разработка и размещение планов мероприятий по устранению выявленных недостатков в течение первого квартала года, следующего за отчетным (п.7 ст.11 Федерального закона от 05.12.2017 N 392-ФЗ «О внесении изменений в </w:t>
      </w:r>
      <w:r w:rsidRPr="00523088">
        <w:rPr>
          <w:rFonts w:ascii="Times New Roman" w:hAnsi="Times New Roman" w:cs="Times New Roman"/>
          <w:sz w:val="24"/>
          <w:szCs w:val="24"/>
        </w:rPr>
        <w:lastRenderedPageBreak/>
        <w:t xml:space="preserve">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федеральный закон №392-ФЗ)). </w:t>
      </w:r>
    </w:p>
    <w:p w:rsidR="00373660" w:rsidRPr="00523088" w:rsidRDefault="00373660" w:rsidP="00373660">
      <w:pPr>
        <w:widowControl w:val="0"/>
        <w:spacing w:after="0" w:line="360" w:lineRule="auto"/>
        <w:ind w:firstLine="709"/>
        <w:jc w:val="both"/>
        <w:rPr>
          <w:rFonts w:ascii="Times New Roman" w:hAnsi="Times New Roman" w:cs="Times New Roman"/>
          <w:color w:val="000000"/>
          <w:sz w:val="24"/>
          <w:szCs w:val="28"/>
        </w:rPr>
      </w:pPr>
      <w:r w:rsidRPr="00523088">
        <w:rPr>
          <w:rFonts w:ascii="Times New Roman" w:hAnsi="Times New Roman" w:cs="Times New Roman"/>
          <w:sz w:val="24"/>
          <w:szCs w:val="24"/>
        </w:rPr>
        <w:t>Работа по формированию и размещению планов на 2023 год по итогам оценки 2022 года к концу 3 квартала 2023 года наиболее активно проведена в сфере образования и культуры. На официальном сайте для размещения информации о государственных (муниципальных)</w:t>
      </w:r>
      <w:r w:rsidRPr="00523088">
        <w:rPr>
          <w:rFonts w:ascii="Times New Roman" w:hAnsi="Times New Roman" w:cs="Times New Roman"/>
          <w:sz w:val="24"/>
          <w:szCs w:val="32"/>
        </w:rPr>
        <w:t xml:space="preserve"> учреждениях сайте </w:t>
      </w:r>
      <w:r w:rsidRPr="00523088">
        <w:rPr>
          <w:rFonts w:ascii="Times New Roman" w:hAnsi="Times New Roman" w:cs="Times New Roman"/>
          <w:sz w:val="24"/>
          <w:szCs w:val="32"/>
          <w:lang w:val="en-US"/>
        </w:rPr>
        <w:t>bus</w:t>
      </w:r>
      <w:r w:rsidRPr="00523088">
        <w:rPr>
          <w:rFonts w:ascii="Times New Roman" w:hAnsi="Times New Roman" w:cs="Times New Roman"/>
          <w:sz w:val="24"/>
          <w:szCs w:val="32"/>
        </w:rPr>
        <w:t>.</w:t>
      </w:r>
      <w:r w:rsidRPr="00523088">
        <w:rPr>
          <w:rFonts w:ascii="Times New Roman" w:hAnsi="Times New Roman" w:cs="Times New Roman"/>
          <w:sz w:val="24"/>
          <w:szCs w:val="32"/>
          <w:lang w:val="en-US"/>
        </w:rPr>
        <w:t>gov</w:t>
      </w:r>
      <w:r w:rsidRPr="00523088">
        <w:rPr>
          <w:rFonts w:ascii="Times New Roman" w:hAnsi="Times New Roman" w:cs="Times New Roman"/>
          <w:sz w:val="24"/>
          <w:szCs w:val="32"/>
        </w:rPr>
        <w:t>.</w:t>
      </w:r>
      <w:r w:rsidRPr="00523088">
        <w:rPr>
          <w:rFonts w:ascii="Times New Roman" w:hAnsi="Times New Roman" w:cs="Times New Roman"/>
          <w:sz w:val="24"/>
          <w:szCs w:val="32"/>
          <w:lang w:val="en-US"/>
        </w:rPr>
        <w:t>ru</w:t>
      </w:r>
      <w:r w:rsidRPr="00523088">
        <w:rPr>
          <w:rFonts w:ascii="Times New Roman" w:hAnsi="Times New Roman" w:cs="Times New Roman"/>
          <w:sz w:val="24"/>
          <w:szCs w:val="32"/>
        </w:rPr>
        <w:t xml:space="preserve"> (далее - сайт </w:t>
      </w:r>
      <w:r w:rsidRPr="00523088">
        <w:rPr>
          <w:rFonts w:ascii="Times New Roman" w:hAnsi="Times New Roman" w:cs="Times New Roman"/>
          <w:sz w:val="24"/>
          <w:szCs w:val="32"/>
          <w:lang w:val="en-US"/>
        </w:rPr>
        <w:t>bus</w:t>
      </w:r>
      <w:r w:rsidRPr="00523088">
        <w:rPr>
          <w:rFonts w:ascii="Times New Roman" w:hAnsi="Times New Roman" w:cs="Times New Roman"/>
          <w:sz w:val="24"/>
          <w:szCs w:val="32"/>
        </w:rPr>
        <w:t>.</w:t>
      </w:r>
      <w:r w:rsidRPr="00523088">
        <w:rPr>
          <w:rFonts w:ascii="Times New Roman" w:hAnsi="Times New Roman" w:cs="Times New Roman"/>
          <w:sz w:val="24"/>
          <w:szCs w:val="32"/>
          <w:lang w:val="en-US"/>
        </w:rPr>
        <w:t>gov</w:t>
      </w:r>
      <w:r w:rsidRPr="00523088">
        <w:rPr>
          <w:rFonts w:ascii="Times New Roman" w:hAnsi="Times New Roman" w:cs="Times New Roman"/>
          <w:sz w:val="24"/>
          <w:szCs w:val="32"/>
        </w:rPr>
        <w:t>.</w:t>
      </w:r>
      <w:r w:rsidRPr="00523088">
        <w:rPr>
          <w:rFonts w:ascii="Times New Roman" w:hAnsi="Times New Roman" w:cs="Times New Roman"/>
          <w:sz w:val="24"/>
          <w:szCs w:val="32"/>
          <w:lang w:val="en-US"/>
        </w:rPr>
        <w:t>ru</w:t>
      </w:r>
      <w:r w:rsidRPr="00523088">
        <w:rPr>
          <w:rFonts w:ascii="Times New Roman" w:hAnsi="Times New Roman" w:cs="Times New Roman"/>
          <w:sz w:val="24"/>
          <w:szCs w:val="32"/>
        </w:rPr>
        <w:t xml:space="preserve">) планы в сфере образования размещены по 97,3 % организаций, в отношении которых была проведена оценка в 2022 г. и размещены количественные результаты. В сфере культуры разработка и размещение планов проведены в отношении </w:t>
      </w:r>
      <w:r w:rsidRPr="00523088">
        <w:rPr>
          <w:rFonts w:ascii="Times New Roman" w:hAnsi="Times New Roman" w:cs="Times New Roman"/>
          <w:color w:val="000000"/>
          <w:sz w:val="24"/>
          <w:szCs w:val="24"/>
        </w:rPr>
        <w:t xml:space="preserve">86 % организаций. В сфере здравоохранения этот показатель составил 81,1%. </w:t>
      </w:r>
    </w:p>
    <w:p w:rsidR="00373660" w:rsidRPr="00523088" w:rsidRDefault="00373660" w:rsidP="00373660">
      <w:pPr>
        <w:widowControl w:val="0"/>
        <w:spacing w:after="0" w:line="360" w:lineRule="auto"/>
        <w:ind w:firstLine="539"/>
        <w:jc w:val="both"/>
        <w:rPr>
          <w:rFonts w:ascii="Times New Roman" w:hAnsi="Times New Roman" w:cs="Times New Roman"/>
          <w:color w:val="000000"/>
          <w:sz w:val="24"/>
          <w:szCs w:val="24"/>
        </w:rPr>
      </w:pPr>
      <w:r w:rsidRPr="00523088">
        <w:rPr>
          <w:rFonts w:ascii="Times New Roman" w:hAnsi="Times New Roman" w:cs="Times New Roman"/>
          <w:color w:val="000000"/>
          <w:sz w:val="24"/>
          <w:szCs w:val="24"/>
        </w:rPr>
        <w:t xml:space="preserve">В сфере социального обслуживания планы размещены по 74,8 % от организаций, которые провели оценку и разместили результаты на сайте </w:t>
      </w:r>
      <w:r w:rsidRPr="00523088">
        <w:rPr>
          <w:rFonts w:ascii="Times New Roman" w:hAnsi="Times New Roman" w:cs="Times New Roman"/>
          <w:color w:val="000000"/>
          <w:sz w:val="24"/>
          <w:szCs w:val="24"/>
          <w:lang w:val="en-US"/>
        </w:rPr>
        <w:t>bus</w:t>
      </w:r>
      <w:r w:rsidRPr="00523088">
        <w:rPr>
          <w:rFonts w:ascii="Times New Roman" w:hAnsi="Times New Roman" w:cs="Times New Roman"/>
          <w:color w:val="000000"/>
          <w:sz w:val="24"/>
          <w:szCs w:val="24"/>
        </w:rPr>
        <w:t>.</w:t>
      </w:r>
      <w:r w:rsidRPr="00523088">
        <w:rPr>
          <w:rFonts w:ascii="Times New Roman" w:hAnsi="Times New Roman" w:cs="Times New Roman"/>
          <w:color w:val="000000"/>
          <w:sz w:val="24"/>
          <w:szCs w:val="24"/>
          <w:lang w:val="en-US"/>
        </w:rPr>
        <w:t>gov</w:t>
      </w:r>
      <w:r w:rsidRPr="00523088">
        <w:rPr>
          <w:rFonts w:ascii="Times New Roman" w:hAnsi="Times New Roman" w:cs="Times New Roman"/>
          <w:color w:val="000000"/>
          <w:sz w:val="24"/>
          <w:szCs w:val="24"/>
        </w:rPr>
        <w:t>.</w:t>
      </w:r>
      <w:r w:rsidRPr="00523088">
        <w:rPr>
          <w:rFonts w:ascii="Times New Roman" w:hAnsi="Times New Roman" w:cs="Times New Roman"/>
          <w:color w:val="000000"/>
          <w:sz w:val="24"/>
          <w:szCs w:val="24"/>
          <w:lang w:val="en-US"/>
        </w:rPr>
        <w:t>ru</w:t>
      </w:r>
      <w:r w:rsidRPr="00523088">
        <w:rPr>
          <w:rFonts w:ascii="Times New Roman" w:hAnsi="Times New Roman" w:cs="Times New Roman"/>
          <w:color w:val="000000"/>
          <w:sz w:val="24"/>
          <w:szCs w:val="24"/>
        </w:rPr>
        <w:t xml:space="preserve">. </w:t>
      </w:r>
    </w:p>
    <w:p w:rsidR="00373660" w:rsidRPr="00523088" w:rsidRDefault="00373660" w:rsidP="00373660">
      <w:pPr>
        <w:widowControl w:val="0"/>
        <w:spacing w:after="0" w:line="360" w:lineRule="auto"/>
        <w:jc w:val="both"/>
        <w:rPr>
          <w:rFonts w:ascii="Times New Roman" w:hAnsi="Times New Roman" w:cs="Times New Roman"/>
          <w:sz w:val="24"/>
          <w:szCs w:val="28"/>
        </w:rPr>
      </w:pPr>
      <w:r w:rsidRPr="00523088">
        <w:rPr>
          <w:rFonts w:ascii="Times New Roman" w:hAnsi="Times New Roman" w:cs="Times New Roman"/>
          <w:sz w:val="24"/>
          <w:szCs w:val="32"/>
        </w:rPr>
        <w:t xml:space="preserve"> – Количество размещенных планов по итогам НОК 2022 г. </w:t>
      </w:r>
      <w:r w:rsidRPr="00523088">
        <w:rPr>
          <w:rFonts w:ascii="Times New Roman" w:hAnsi="Times New Roman" w:cs="Times New Roman"/>
          <w:sz w:val="24"/>
          <w:szCs w:val="24"/>
        </w:rPr>
        <w:t>(по состоянию на 29.09.23 г.)</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9"/>
        <w:gridCol w:w="1560"/>
        <w:gridCol w:w="992"/>
        <w:gridCol w:w="851"/>
        <w:gridCol w:w="1561"/>
        <w:gridCol w:w="1702"/>
      </w:tblGrid>
      <w:tr w:rsidR="00373660" w:rsidRPr="00C8547F" w:rsidTr="000F714B">
        <w:trPr>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ind w:left="-120" w:right="-105"/>
              <w:jc w:val="center"/>
              <w:rPr>
                <w:rFonts w:ascii="Times New Roman" w:hAnsi="Times New Roman" w:cs="Times New Roman"/>
                <w:color w:val="000000"/>
              </w:rPr>
            </w:pPr>
            <w:r w:rsidRPr="00C8547F">
              <w:rPr>
                <w:rFonts w:ascii="Times New Roman" w:hAnsi="Times New Roman" w:cs="Times New Roman"/>
                <w:color w:val="000000"/>
              </w:rPr>
              <w:t>Отрасль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ind w:left="-120" w:right="-105"/>
              <w:jc w:val="center"/>
              <w:rPr>
                <w:rFonts w:ascii="Times New Roman" w:hAnsi="Times New Roman" w:cs="Times New Roman"/>
                <w:color w:val="000000"/>
              </w:rPr>
            </w:pPr>
            <w:r w:rsidRPr="00C8547F">
              <w:rPr>
                <w:rFonts w:ascii="Times New Roman" w:hAnsi="Times New Roman" w:cs="Times New Roman"/>
                <w:color w:val="000000"/>
              </w:rPr>
              <w:t>Количество организаций, включенные в перечни НОК в 2022 году</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ind w:left="-120" w:right="-105"/>
              <w:jc w:val="center"/>
              <w:rPr>
                <w:rFonts w:ascii="Times New Roman" w:hAnsi="Times New Roman" w:cs="Times New Roman"/>
                <w:color w:val="000000"/>
              </w:rPr>
            </w:pPr>
            <w:r w:rsidRPr="00C8547F">
              <w:rPr>
                <w:rFonts w:ascii="Times New Roman" w:hAnsi="Times New Roman" w:cs="Times New Roman"/>
                <w:color w:val="000000"/>
              </w:rPr>
              <w:t>Количество организаций, по которым размещены результаты по НОК 2022 года</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ind w:left="-120" w:right="-105"/>
              <w:jc w:val="center"/>
              <w:rPr>
                <w:rFonts w:ascii="Times New Roman" w:hAnsi="Times New Roman" w:cs="Times New Roman"/>
                <w:color w:val="000000"/>
              </w:rPr>
            </w:pPr>
            <w:r w:rsidRPr="00C8547F">
              <w:rPr>
                <w:rFonts w:ascii="Times New Roman" w:hAnsi="Times New Roman" w:cs="Times New Roman"/>
                <w:color w:val="000000"/>
              </w:rPr>
              <w:t>Количество размещенных планов в 2023 г.</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ind w:left="-120" w:right="-105"/>
              <w:jc w:val="center"/>
              <w:rPr>
                <w:rFonts w:ascii="Times New Roman" w:hAnsi="Times New Roman" w:cs="Times New Roman"/>
                <w:color w:val="000000"/>
              </w:rPr>
            </w:pPr>
            <w:r w:rsidRPr="00C8547F">
              <w:rPr>
                <w:rFonts w:ascii="Times New Roman" w:hAnsi="Times New Roman" w:cs="Times New Roman"/>
                <w:color w:val="000000"/>
              </w:rPr>
              <w:t xml:space="preserve">Доля от числа организаций, </w:t>
            </w:r>
          </w:p>
        </w:tc>
      </w:tr>
      <w:tr w:rsidR="00373660" w:rsidRPr="00C8547F" w:rsidTr="000F714B">
        <w:trPr>
          <w:trHeight w:val="4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eastAsia="Times New Roman" w:hAnsi="Times New Roman" w:cs="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eastAsia="Times New Roman" w:hAnsi="Times New Roman" w:cs="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eastAsia="Times New Roman" w:hAnsi="Times New Roman" w:cs="Times New Roman"/>
                <w:color w:val="00000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eastAsia="Times New Roman" w:hAnsi="Times New Roman" w:cs="Times New Roman"/>
                <w:color w:val="000000"/>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ind w:left="-120" w:right="-105"/>
              <w:jc w:val="center"/>
              <w:rPr>
                <w:rFonts w:ascii="Times New Roman" w:hAnsi="Times New Roman" w:cs="Times New Roman"/>
                <w:color w:val="000000"/>
              </w:rPr>
            </w:pPr>
            <w:r w:rsidRPr="00C8547F">
              <w:rPr>
                <w:rFonts w:ascii="Times New Roman" w:hAnsi="Times New Roman" w:cs="Times New Roman"/>
                <w:color w:val="000000"/>
              </w:rPr>
              <w:t>включенных в перечни НОК в 2022 году,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ind w:left="-120" w:right="-105"/>
              <w:jc w:val="center"/>
              <w:rPr>
                <w:rFonts w:ascii="Times New Roman" w:hAnsi="Times New Roman" w:cs="Times New Roman"/>
                <w:color w:val="000000"/>
              </w:rPr>
            </w:pPr>
            <w:r w:rsidRPr="00C8547F">
              <w:rPr>
                <w:rFonts w:ascii="Times New Roman" w:hAnsi="Times New Roman" w:cs="Times New Roman"/>
                <w:color w:val="000000"/>
              </w:rPr>
              <w:t>по которым размещены количественные результаты по итогам 2022 года, %</w:t>
            </w:r>
          </w:p>
        </w:tc>
      </w:tr>
      <w:tr w:rsidR="00373660" w:rsidRPr="00C8547F" w:rsidTr="000F714B">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eastAsia="Times New Roman" w:hAnsi="Times New Roman" w:cs="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eastAsia="Times New Roman" w:hAnsi="Times New Roman" w:cs="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eastAsia="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ind w:left="-120" w:right="-105"/>
              <w:jc w:val="center"/>
              <w:rPr>
                <w:rFonts w:ascii="Times New Roman" w:hAnsi="Times New Roman" w:cs="Times New Roman"/>
                <w:color w:val="000000"/>
              </w:rPr>
            </w:pPr>
            <w:r w:rsidRPr="00C8547F">
              <w:rPr>
                <w:rFonts w:ascii="Times New Roman" w:hAnsi="Times New Roman" w:cs="Times New Roman"/>
                <w:color w:val="000000"/>
              </w:rPr>
              <w:t>1 полугодие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ind w:left="-120" w:right="-105"/>
              <w:jc w:val="center"/>
              <w:rPr>
                <w:rFonts w:ascii="Times New Roman" w:hAnsi="Times New Roman" w:cs="Times New Roman"/>
                <w:color w:val="000000"/>
              </w:rPr>
            </w:pPr>
            <w:r w:rsidRPr="00C8547F">
              <w:rPr>
                <w:rFonts w:ascii="Times New Roman" w:hAnsi="Times New Roman" w:cs="Times New Roman"/>
                <w:color w:val="000000"/>
              </w:rPr>
              <w:t>3 квартал</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eastAsia="Times New Roman" w:hAnsi="Times New Roman" w:cs="Times New Roman"/>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eastAsia="Times New Roman" w:hAnsi="Times New Roman" w:cs="Times New Roman"/>
                <w:color w:val="000000"/>
              </w:rPr>
            </w:pPr>
          </w:p>
        </w:tc>
      </w:tr>
      <w:tr w:rsidR="00373660" w:rsidRPr="00C8547F" w:rsidTr="000F714B">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hAnsi="Times New Roman" w:cs="Times New Roman"/>
                <w:color w:val="000000"/>
              </w:rPr>
            </w:pPr>
            <w:r w:rsidRPr="00C8547F">
              <w:rPr>
                <w:rFonts w:ascii="Times New Roman" w:hAnsi="Times New Roman" w:cs="Times New Roman"/>
                <w:color w:val="000000"/>
              </w:rPr>
              <w:t>Здравоохранение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2871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2458</w:t>
            </w:r>
          </w:p>
        </w:tc>
        <w:tc>
          <w:tcPr>
            <w:tcW w:w="992"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1809</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1993</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69,</w:t>
            </w:r>
            <w:r w:rsidRPr="00C8547F">
              <w:rPr>
                <w:rFonts w:ascii="Times New Roman" w:hAnsi="Times New Roman" w:cs="Times New Roman"/>
                <w:color w:val="000000"/>
                <w:lang w:val="en-US"/>
              </w:rPr>
              <w:t>4</w:t>
            </w:r>
            <w:r w:rsidRPr="00C8547F">
              <w:rPr>
                <w:rFonts w:ascii="Times New Roman" w:hAnsi="Times New Roman" w:cs="Times New Roman"/>
                <w:color w:val="00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lang w:val="en-US"/>
              </w:rPr>
              <w:t>81,1</w:t>
            </w:r>
            <w:r w:rsidRPr="00C8547F">
              <w:rPr>
                <w:rFonts w:ascii="Times New Roman" w:hAnsi="Times New Roman" w:cs="Times New Roman"/>
                <w:color w:val="000000"/>
              </w:rPr>
              <w:t>%</w:t>
            </w:r>
          </w:p>
        </w:tc>
      </w:tr>
      <w:tr w:rsidR="00373660" w:rsidRPr="00C8547F" w:rsidTr="000F714B">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hAnsi="Times New Roman" w:cs="Times New Roman"/>
                <w:color w:val="000000"/>
              </w:rPr>
            </w:pPr>
            <w:r w:rsidRPr="00C8547F">
              <w:rPr>
                <w:rFonts w:ascii="Times New Roman" w:hAnsi="Times New Roman" w:cs="Times New Roman"/>
                <w:color w:val="000000"/>
              </w:rPr>
              <w:t>Культура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5181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4401</w:t>
            </w:r>
          </w:p>
        </w:tc>
        <w:tc>
          <w:tcPr>
            <w:tcW w:w="992"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3687</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lang w:val="en-US"/>
              </w:rPr>
            </w:pPr>
            <w:r w:rsidRPr="00C8547F">
              <w:rPr>
                <w:rFonts w:ascii="Times New Roman" w:hAnsi="Times New Roman" w:cs="Times New Roman"/>
                <w:color w:val="000000"/>
              </w:rPr>
              <w:t>3786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7</w:t>
            </w:r>
            <w:r w:rsidRPr="00C8547F">
              <w:rPr>
                <w:rFonts w:ascii="Times New Roman" w:hAnsi="Times New Roman" w:cs="Times New Roman"/>
                <w:color w:val="000000"/>
                <w:lang w:val="en-US"/>
              </w:rPr>
              <w:t>3,1</w:t>
            </w:r>
            <w:r w:rsidRPr="00C8547F">
              <w:rPr>
                <w:rFonts w:ascii="Times New Roman" w:hAnsi="Times New Roman" w:cs="Times New Roman"/>
                <w:color w:val="00000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lang w:val="en-US"/>
              </w:rPr>
              <w:t>86</w:t>
            </w:r>
            <w:r w:rsidRPr="00C8547F">
              <w:rPr>
                <w:rFonts w:ascii="Times New Roman" w:hAnsi="Times New Roman" w:cs="Times New Roman"/>
                <w:color w:val="000000"/>
              </w:rPr>
              <w:t>%</w:t>
            </w:r>
          </w:p>
        </w:tc>
      </w:tr>
      <w:tr w:rsidR="00373660" w:rsidRPr="00C8547F" w:rsidTr="000F714B">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hAnsi="Times New Roman" w:cs="Times New Roman"/>
                <w:color w:val="000000"/>
              </w:rPr>
            </w:pPr>
            <w:r w:rsidRPr="00C8547F">
              <w:rPr>
                <w:rFonts w:ascii="Times New Roman" w:hAnsi="Times New Roman" w:cs="Times New Roman"/>
                <w:color w:val="000000"/>
              </w:rPr>
              <w:t>Образование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28871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26624</w:t>
            </w:r>
          </w:p>
        </w:tc>
        <w:tc>
          <w:tcPr>
            <w:tcW w:w="992"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25522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25908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8</w:t>
            </w:r>
            <w:r w:rsidRPr="00C8547F">
              <w:rPr>
                <w:rFonts w:ascii="Times New Roman" w:hAnsi="Times New Roman" w:cs="Times New Roman"/>
                <w:color w:val="000000"/>
                <w:lang w:val="en-US"/>
              </w:rPr>
              <w:t>9,7</w:t>
            </w:r>
            <w:r w:rsidRPr="00C8547F">
              <w:rPr>
                <w:rFonts w:ascii="Times New Roman" w:hAnsi="Times New Roman" w:cs="Times New Roman"/>
                <w:color w:val="00000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9</w:t>
            </w:r>
            <w:r w:rsidRPr="00C8547F">
              <w:rPr>
                <w:rFonts w:ascii="Times New Roman" w:hAnsi="Times New Roman" w:cs="Times New Roman"/>
                <w:color w:val="000000"/>
                <w:lang w:val="en-US"/>
              </w:rPr>
              <w:t>7,3</w:t>
            </w:r>
            <w:r w:rsidRPr="00C8547F">
              <w:rPr>
                <w:rFonts w:ascii="Times New Roman" w:hAnsi="Times New Roman" w:cs="Times New Roman"/>
                <w:color w:val="000000"/>
              </w:rPr>
              <w:t>%</w:t>
            </w:r>
          </w:p>
        </w:tc>
      </w:tr>
      <w:tr w:rsidR="00373660" w:rsidRPr="00C8547F" w:rsidTr="000F714B">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rPr>
                <w:rFonts w:ascii="Times New Roman" w:hAnsi="Times New Roman" w:cs="Times New Roman"/>
                <w:color w:val="000000"/>
              </w:rPr>
            </w:pPr>
            <w:r w:rsidRPr="00C8547F">
              <w:rPr>
                <w:rFonts w:ascii="Times New Roman" w:hAnsi="Times New Roman" w:cs="Times New Roman"/>
                <w:color w:val="000000"/>
              </w:rPr>
              <w:t>Социальное обслуживание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2149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1950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1459</w:t>
            </w:r>
          </w:p>
        </w:tc>
        <w:tc>
          <w:tcPr>
            <w:tcW w:w="851"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1459</w:t>
            </w:r>
          </w:p>
        </w:tc>
        <w:tc>
          <w:tcPr>
            <w:tcW w:w="1560"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 xml:space="preserve">67,9%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3660" w:rsidRPr="00C8547F" w:rsidRDefault="00373660" w:rsidP="000F714B">
            <w:pPr>
              <w:widowControl w:val="0"/>
              <w:spacing w:after="0" w:line="240" w:lineRule="auto"/>
              <w:jc w:val="center"/>
              <w:rPr>
                <w:rFonts w:ascii="Times New Roman" w:hAnsi="Times New Roman" w:cs="Times New Roman"/>
                <w:color w:val="000000"/>
              </w:rPr>
            </w:pPr>
            <w:r w:rsidRPr="00C8547F">
              <w:rPr>
                <w:rFonts w:ascii="Times New Roman" w:hAnsi="Times New Roman" w:cs="Times New Roman"/>
                <w:color w:val="000000"/>
              </w:rPr>
              <w:t>74,8%</w:t>
            </w:r>
          </w:p>
        </w:tc>
      </w:tr>
    </w:tbl>
    <w:p w:rsidR="00373660" w:rsidRPr="00A00C9A" w:rsidRDefault="00373660" w:rsidP="00373660">
      <w:pPr>
        <w:pStyle w:val="1"/>
        <w:widowControl w:val="0"/>
        <w:ind w:firstLine="709"/>
        <w:contextualSpacing w:val="0"/>
        <w:rPr>
          <w:bCs/>
          <w:sz w:val="24"/>
          <w:szCs w:val="24"/>
        </w:rPr>
      </w:pPr>
    </w:p>
    <w:p w:rsidR="00373660" w:rsidRDefault="00373660">
      <w:pPr>
        <w:rPr>
          <w:bCs/>
          <w:sz w:val="24"/>
          <w:szCs w:val="24"/>
        </w:rPr>
      </w:pPr>
    </w:p>
    <w:p w:rsidR="00373660" w:rsidRPr="00373660" w:rsidRDefault="00373660" w:rsidP="00373660">
      <w:pPr>
        <w:rPr>
          <w:sz w:val="24"/>
          <w:szCs w:val="24"/>
        </w:rPr>
      </w:pPr>
    </w:p>
    <w:p w:rsidR="00373660" w:rsidRPr="00373660" w:rsidRDefault="00373660" w:rsidP="00373660">
      <w:pPr>
        <w:rPr>
          <w:sz w:val="24"/>
          <w:szCs w:val="24"/>
        </w:rPr>
      </w:pPr>
    </w:p>
    <w:p w:rsidR="00373660" w:rsidRPr="00373660" w:rsidRDefault="00373660" w:rsidP="00373660">
      <w:pPr>
        <w:rPr>
          <w:sz w:val="24"/>
          <w:szCs w:val="24"/>
        </w:rPr>
      </w:pPr>
    </w:p>
    <w:p w:rsidR="00373660" w:rsidRPr="00373660" w:rsidRDefault="00373660" w:rsidP="00373660">
      <w:pPr>
        <w:rPr>
          <w:sz w:val="24"/>
          <w:szCs w:val="24"/>
        </w:rPr>
      </w:pPr>
    </w:p>
    <w:p w:rsidR="00373660" w:rsidRPr="00373660" w:rsidRDefault="00373660" w:rsidP="00373660">
      <w:pPr>
        <w:rPr>
          <w:sz w:val="24"/>
          <w:szCs w:val="24"/>
        </w:rPr>
      </w:pPr>
    </w:p>
    <w:p w:rsidR="00373660" w:rsidRPr="00373660" w:rsidRDefault="00373660" w:rsidP="00373660">
      <w:pPr>
        <w:rPr>
          <w:sz w:val="24"/>
          <w:szCs w:val="24"/>
        </w:rPr>
      </w:pPr>
    </w:p>
    <w:p w:rsidR="00373660" w:rsidRPr="00373660" w:rsidRDefault="00373660" w:rsidP="00373660">
      <w:pPr>
        <w:rPr>
          <w:sz w:val="24"/>
          <w:szCs w:val="24"/>
        </w:rPr>
      </w:pPr>
    </w:p>
    <w:p w:rsidR="00373660" w:rsidRPr="00373660" w:rsidRDefault="00373660" w:rsidP="00373660">
      <w:pPr>
        <w:rPr>
          <w:sz w:val="24"/>
          <w:szCs w:val="24"/>
        </w:rPr>
      </w:pPr>
    </w:p>
    <w:p w:rsidR="00373660" w:rsidRDefault="00373660">
      <w:pPr>
        <w:rPr>
          <w:sz w:val="24"/>
          <w:szCs w:val="24"/>
        </w:rPr>
      </w:pPr>
    </w:p>
    <w:p w:rsidR="00773B80" w:rsidRDefault="00373660" w:rsidP="00373660">
      <w:pPr>
        <w:tabs>
          <w:tab w:val="left" w:pos="2091"/>
        </w:tabs>
      </w:pPr>
      <w:r>
        <w:rPr>
          <w:sz w:val="24"/>
          <w:szCs w:val="24"/>
        </w:rPr>
        <w:tab/>
      </w:r>
    </w:p>
    <w:sectPr w:rsidR="00773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F6762"/>
    <w:multiLevelType w:val="hybridMultilevel"/>
    <w:tmpl w:val="B08EEA84"/>
    <w:lvl w:ilvl="0" w:tplc="824AF1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98"/>
    <w:rsid w:val="00373660"/>
    <w:rsid w:val="005C4198"/>
    <w:rsid w:val="00773B80"/>
    <w:rsid w:val="00F3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2E004-D9CF-46E7-8D01-8C0A447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660"/>
  </w:style>
  <w:style w:type="paragraph" w:styleId="1">
    <w:name w:val="heading 1"/>
    <w:basedOn w:val="a0"/>
    <w:next w:val="a"/>
    <w:link w:val="10"/>
    <w:uiPriority w:val="9"/>
    <w:qFormat/>
    <w:rsid w:val="00373660"/>
    <w:pPr>
      <w:tabs>
        <w:tab w:val="left" w:pos="426"/>
        <w:tab w:val="left" w:pos="851"/>
      </w:tabs>
      <w:spacing w:after="0" w:line="360" w:lineRule="auto"/>
      <w:ind w:left="0"/>
      <w:jc w:val="both"/>
      <w:outlineLvl w:val="0"/>
    </w:pPr>
    <w:rPr>
      <w:rFonts w:ascii="Times New Roman" w:eastAsia="MS Mincho" w:hAnsi="Times New Roman" w:cs="Times New Roman"/>
      <w:b/>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373660"/>
    <w:rPr>
      <w:rFonts w:ascii="Times New Roman" w:eastAsia="MS Mincho" w:hAnsi="Times New Roman" w:cs="Times New Roman"/>
      <w:b/>
      <w:color w:val="000000" w:themeColor="text1"/>
      <w:sz w:val="28"/>
      <w:szCs w:val="28"/>
    </w:rPr>
  </w:style>
  <w:style w:type="paragraph" w:styleId="a0">
    <w:name w:val="List Paragraph"/>
    <w:aliases w:val="Bullet List,FooterText,numbered,Заговок Марина,List Paragraph,Bullet Number,Индексы,Num Bullet 1,Абзац маркированнный,Paragraphe de liste1,lp1,Нумерация"/>
    <w:basedOn w:val="a"/>
    <w:link w:val="a4"/>
    <w:uiPriority w:val="34"/>
    <w:qFormat/>
    <w:rsid w:val="00373660"/>
    <w:pPr>
      <w:ind w:left="720"/>
      <w:contextualSpacing/>
    </w:pPr>
  </w:style>
  <w:style w:type="character" w:customStyle="1" w:styleId="a4">
    <w:name w:val="Абзац списка Знак"/>
    <w:aliases w:val="Bullet List Знак,FooterText Знак,numbered Знак,Заговок Марина Знак,List Paragraph Знак,Bullet Number Знак,Индексы Знак,Num Bullet 1 Знак,Абзац маркированнный Знак,Paragraphe de liste1 Знак,lp1 Знак,Нумерация Знак"/>
    <w:link w:val="a0"/>
    <w:uiPriority w:val="34"/>
    <w:locked/>
    <w:rsid w:val="0037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 Наталия Сергеевна</dc:creator>
  <cp:keywords/>
  <dc:description/>
  <cp:lastModifiedBy>Панца Екатерина Александровна</cp:lastModifiedBy>
  <cp:revision>2</cp:revision>
  <dcterms:created xsi:type="dcterms:W3CDTF">2024-03-06T12:44:00Z</dcterms:created>
  <dcterms:modified xsi:type="dcterms:W3CDTF">2024-03-06T12:44:00Z</dcterms:modified>
</cp:coreProperties>
</file>